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234" w:rsidRPr="004A1424" w:rsidRDefault="008222CA" w:rsidP="0000618F">
      <w:pPr>
        <w:widowControl/>
        <w:snapToGrid w:val="0"/>
        <w:spacing w:line="360" w:lineRule="auto"/>
        <w:jc w:val="center"/>
        <w:rPr>
          <w:rFonts w:ascii="方正小标宋简体" w:eastAsia="方正小标宋简体"/>
          <w:bCs/>
          <w:sz w:val="36"/>
          <w:szCs w:val="36"/>
        </w:rPr>
      </w:pPr>
      <w:r w:rsidRPr="008222CA">
        <w:rPr>
          <w:rFonts w:eastAsia="方正小标宋简体" w:hint="eastAsia"/>
          <w:sz w:val="36"/>
          <w:szCs w:val="36"/>
        </w:rPr>
        <w:t>以患者为中心的临床试验获益</w:t>
      </w:r>
      <w:r w:rsidRPr="008222CA">
        <w:rPr>
          <w:rFonts w:eastAsia="方正小标宋简体" w:hint="eastAsia"/>
          <w:sz w:val="36"/>
          <w:szCs w:val="36"/>
        </w:rPr>
        <w:t>-</w:t>
      </w:r>
      <w:r w:rsidRPr="008222CA">
        <w:rPr>
          <w:rFonts w:eastAsia="方正小标宋简体" w:hint="eastAsia"/>
          <w:sz w:val="36"/>
          <w:szCs w:val="36"/>
        </w:rPr>
        <w:t>风险评估技术指导原则</w:t>
      </w:r>
      <w:r w:rsidR="00176942" w:rsidRPr="00176942">
        <w:rPr>
          <w:rFonts w:ascii="方正小标宋简体" w:eastAsia="方正小标宋简体" w:hint="eastAsia"/>
          <w:bCs/>
          <w:sz w:val="36"/>
          <w:szCs w:val="36"/>
        </w:rPr>
        <w:t>（征求意见稿）</w:t>
      </w:r>
      <w:r w:rsidR="008D5234" w:rsidRPr="004A1424">
        <w:rPr>
          <w:rFonts w:ascii="方正小标宋简体" w:eastAsia="方正小标宋简体" w:hint="eastAsia"/>
          <w:bCs/>
          <w:sz w:val="36"/>
          <w:szCs w:val="36"/>
        </w:rPr>
        <w:t>起草说明</w:t>
      </w:r>
    </w:p>
    <w:p w:rsidR="0005219F" w:rsidRPr="0005219F" w:rsidRDefault="0005219F" w:rsidP="0005219F">
      <w:pPr>
        <w:snapToGrid w:val="0"/>
        <w:spacing w:line="360" w:lineRule="auto"/>
        <w:ind w:firstLineChars="200" w:firstLine="640"/>
        <w:outlineLvl w:val="0"/>
        <w:rPr>
          <w:rFonts w:eastAsia="黑体"/>
          <w:color w:val="000000"/>
          <w:sz w:val="32"/>
          <w:szCs w:val="32"/>
        </w:rPr>
      </w:pPr>
      <w:r w:rsidRPr="0005219F">
        <w:rPr>
          <w:rFonts w:eastAsia="黑体"/>
          <w:color w:val="000000"/>
          <w:sz w:val="32"/>
          <w:szCs w:val="32"/>
        </w:rPr>
        <w:t>一、起草目的</w:t>
      </w:r>
    </w:p>
    <w:p w:rsidR="0005219F" w:rsidRPr="0005219F" w:rsidRDefault="0005219F" w:rsidP="0005219F">
      <w:pPr>
        <w:snapToGrid w:val="0"/>
        <w:spacing w:line="360" w:lineRule="auto"/>
        <w:ind w:firstLineChars="200" w:firstLine="640"/>
        <w:rPr>
          <w:rFonts w:eastAsia="黑体"/>
          <w:color w:val="000000"/>
          <w:sz w:val="32"/>
          <w:szCs w:val="32"/>
        </w:rPr>
      </w:pPr>
      <w:r w:rsidRPr="0005219F">
        <w:rPr>
          <w:rFonts w:eastAsia="仿宋_GB2312"/>
          <w:sz w:val="32"/>
          <w:szCs w:val="32"/>
        </w:rPr>
        <w:t>“</w:t>
      </w:r>
      <w:r w:rsidRPr="0005219F">
        <w:rPr>
          <w:rFonts w:eastAsia="仿宋_GB2312"/>
          <w:sz w:val="32"/>
          <w:szCs w:val="32"/>
        </w:rPr>
        <w:t>以患者为中心</w:t>
      </w:r>
      <w:r w:rsidRPr="0005219F">
        <w:rPr>
          <w:rFonts w:eastAsia="仿宋_GB2312"/>
          <w:sz w:val="32"/>
          <w:szCs w:val="32"/>
        </w:rPr>
        <w:t>”</w:t>
      </w:r>
      <w:r w:rsidRPr="0005219F">
        <w:rPr>
          <w:rFonts w:eastAsia="仿宋_GB2312"/>
          <w:sz w:val="32"/>
          <w:szCs w:val="32"/>
        </w:rPr>
        <w:t>的药物研发是指以患者需求为出发点、视患者为主动参与者、以临床价值为最终目的，该理念已成为当前药物研发的核心指导思想。为了指导以患者为中心的临床试验的</w:t>
      </w:r>
      <w:r w:rsidRPr="0005219F">
        <w:rPr>
          <w:rFonts w:eastAsia="仿宋_GB2312"/>
          <w:sz w:val="32"/>
          <w:szCs w:val="32"/>
          <w:lang w:eastAsia="zh-Hans"/>
        </w:rPr>
        <w:t>获益风险评估</w:t>
      </w:r>
      <w:r w:rsidRPr="0005219F">
        <w:rPr>
          <w:rFonts w:eastAsia="仿宋_GB2312"/>
          <w:sz w:val="32"/>
          <w:szCs w:val="32"/>
        </w:rPr>
        <w:t>，将患者需求纳入到药物的获益</w:t>
      </w:r>
      <w:r w:rsidRPr="0005219F">
        <w:rPr>
          <w:rFonts w:eastAsia="仿宋_GB2312"/>
          <w:sz w:val="32"/>
          <w:szCs w:val="32"/>
        </w:rPr>
        <w:t>-</w:t>
      </w:r>
      <w:r w:rsidRPr="0005219F">
        <w:rPr>
          <w:rFonts w:eastAsia="仿宋_GB2312"/>
          <w:sz w:val="32"/>
          <w:szCs w:val="32"/>
        </w:rPr>
        <w:t>风险评估体系中，药品审评中心组织起草了《以患者为中心的临床试验</w:t>
      </w:r>
      <w:r w:rsidRPr="0005219F">
        <w:rPr>
          <w:rFonts w:eastAsia="仿宋_GB2312"/>
          <w:sz w:val="32"/>
          <w:szCs w:val="32"/>
          <w:lang w:eastAsia="zh-Hans"/>
        </w:rPr>
        <w:t>获益</w:t>
      </w:r>
      <w:r w:rsidRPr="0005219F">
        <w:rPr>
          <w:rFonts w:eastAsia="仿宋_GB2312"/>
          <w:sz w:val="32"/>
          <w:szCs w:val="32"/>
          <w:lang w:eastAsia="zh-Hans"/>
        </w:rPr>
        <w:t>-</w:t>
      </w:r>
      <w:r w:rsidRPr="0005219F">
        <w:rPr>
          <w:rFonts w:eastAsia="仿宋_GB2312"/>
          <w:sz w:val="32"/>
          <w:szCs w:val="32"/>
          <w:lang w:eastAsia="zh-Hans"/>
        </w:rPr>
        <w:t>风险评估</w:t>
      </w:r>
      <w:r w:rsidRPr="0005219F">
        <w:rPr>
          <w:rFonts w:eastAsia="仿宋_GB2312"/>
          <w:sz w:val="32"/>
          <w:szCs w:val="32"/>
        </w:rPr>
        <w:t>技术指导原则》，旨在阐明患者体验数据的定义、分类，和基于患者体验数据进行获益</w:t>
      </w:r>
      <w:r w:rsidRPr="0005219F">
        <w:rPr>
          <w:rFonts w:eastAsia="仿宋_GB2312"/>
          <w:sz w:val="32"/>
          <w:szCs w:val="32"/>
        </w:rPr>
        <w:t>-</w:t>
      </w:r>
      <w:r w:rsidRPr="0005219F">
        <w:rPr>
          <w:rFonts w:eastAsia="仿宋_GB2312"/>
          <w:sz w:val="32"/>
          <w:szCs w:val="32"/>
        </w:rPr>
        <w:t>风险评估的适用范围、科学考量、与审评机构的沟通等，为申办者如何运用患者体验数据支持上市注册申请及全生命周期的获益</w:t>
      </w:r>
      <w:r w:rsidRPr="0005219F">
        <w:rPr>
          <w:rFonts w:eastAsia="仿宋_GB2312"/>
          <w:sz w:val="32"/>
          <w:szCs w:val="32"/>
        </w:rPr>
        <w:t>-</w:t>
      </w:r>
      <w:r w:rsidRPr="0005219F">
        <w:rPr>
          <w:rFonts w:eastAsia="仿宋_GB2312"/>
          <w:sz w:val="32"/>
          <w:szCs w:val="32"/>
        </w:rPr>
        <w:t>风险评估提供参考。</w:t>
      </w:r>
    </w:p>
    <w:p w:rsidR="0005219F" w:rsidRPr="0005219F" w:rsidRDefault="0005219F" w:rsidP="0005219F">
      <w:pPr>
        <w:snapToGrid w:val="0"/>
        <w:spacing w:line="360" w:lineRule="auto"/>
        <w:ind w:firstLineChars="200" w:firstLine="640"/>
        <w:outlineLvl w:val="1"/>
        <w:rPr>
          <w:rFonts w:eastAsia="黑体"/>
          <w:color w:val="000000"/>
          <w:sz w:val="32"/>
          <w:szCs w:val="32"/>
        </w:rPr>
      </w:pPr>
      <w:r>
        <w:rPr>
          <w:rFonts w:eastAsia="黑体" w:hint="eastAsia"/>
          <w:color w:val="000000"/>
          <w:sz w:val="32"/>
          <w:szCs w:val="32"/>
        </w:rPr>
        <w:t>二</w:t>
      </w:r>
      <w:r>
        <w:rPr>
          <w:rFonts w:eastAsia="黑体"/>
          <w:color w:val="000000"/>
          <w:sz w:val="32"/>
          <w:szCs w:val="32"/>
        </w:rPr>
        <w:t>、</w:t>
      </w:r>
      <w:r w:rsidRPr="0005219F">
        <w:rPr>
          <w:rFonts w:eastAsia="黑体"/>
          <w:color w:val="000000"/>
          <w:sz w:val="32"/>
          <w:szCs w:val="32"/>
        </w:rPr>
        <w:t>起草过程</w:t>
      </w:r>
    </w:p>
    <w:p w:rsidR="0005219F" w:rsidRPr="0005219F" w:rsidRDefault="0005219F" w:rsidP="0005219F">
      <w:pPr>
        <w:snapToGrid w:val="0"/>
        <w:spacing w:line="360" w:lineRule="auto"/>
        <w:ind w:firstLineChars="200" w:firstLine="640"/>
        <w:rPr>
          <w:rFonts w:eastAsia="仿宋_GB2312"/>
          <w:sz w:val="32"/>
          <w:szCs w:val="22"/>
        </w:rPr>
      </w:pPr>
      <w:r w:rsidRPr="0005219F">
        <w:rPr>
          <w:rFonts w:eastAsia="仿宋_GB2312"/>
          <w:sz w:val="32"/>
          <w:szCs w:val="22"/>
        </w:rPr>
        <w:t>本指导原则由药审中心化药二部牵头立项。起草工作自</w:t>
      </w:r>
      <w:r w:rsidRPr="0005219F">
        <w:rPr>
          <w:rFonts w:eastAsia="仿宋_GB2312"/>
          <w:sz w:val="32"/>
          <w:szCs w:val="22"/>
        </w:rPr>
        <w:t>2021</w:t>
      </w:r>
      <w:r w:rsidRPr="0005219F">
        <w:rPr>
          <w:rFonts w:eastAsia="仿宋_GB2312"/>
          <w:sz w:val="32"/>
          <w:szCs w:val="22"/>
        </w:rPr>
        <w:t>年</w:t>
      </w:r>
      <w:r w:rsidRPr="0005219F">
        <w:rPr>
          <w:rFonts w:eastAsia="仿宋_GB2312"/>
          <w:sz w:val="32"/>
          <w:szCs w:val="22"/>
        </w:rPr>
        <w:t>6</w:t>
      </w:r>
      <w:r w:rsidRPr="0005219F">
        <w:rPr>
          <w:rFonts w:eastAsia="仿宋_GB2312"/>
          <w:sz w:val="32"/>
          <w:szCs w:val="22"/>
        </w:rPr>
        <w:t>月末启动，进行了多方调研，</w:t>
      </w:r>
      <w:r w:rsidRPr="0005219F">
        <w:rPr>
          <w:rFonts w:eastAsia="仿宋_GB2312"/>
          <w:sz w:val="32"/>
          <w:szCs w:val="22"/>
        </w:rPr>
        <w:t>2022</w:t>
      </w:r>
      <w:r w:rsidRPr="0005219F">
        <w:rPr>
          <w:rFonts w:eastAsia="仿宋_GB2312"/>
          <w:sz w:val="32"/>
          <w:szCs w:val="22"/>
        </w:rPr>
        <w:t>年</w:t>
      </w:r>
      <w:r w:rsidRPr="0005219F">
        <w:rPr>
          <w:rFonts w:eastAsia="仿宋_GB2312"/>
          <w:sz w:val="32"/>
          <w:szCs w:val="22"/>
        </w:rPr>
        <w:t>3</w:t>
      </w:r>
      <w:r w:rsidRPr="0005219F">
        <w:rPr>
          <w:rFonts w:eastAsia="仿宋_GB2312"/>
          <w:sz w:val="32"/>
          <w:szCs w:val="22"/>
        </w:rPr>
        <w:t>月末形成大纲，</w:t>
      </w:r>
      <w:r w:rsidRPr="0005219F">
        <w:rPr>
          <w:rFonts w:eastAsia="仿宋_GB2312"/>
          <w:sz w:val="32"/>
          <w:szCs w:val="22"/>
        </w:rPr>
        <w:t>5</w:t>
      </w:r>
      <w:r w:rsidRPr="0005219F">
        <w:rPr>
          <w:rFonts w:eastAsia="仿宋_GB2312"/>
          <w:sz w:val="32"/>
          <w:szCs w:val="22"/>
        </w:rPr>
        <w:t>月中形成前期初稿，在指导原则核心工作组内部定期开会讨论。</w:t>
      </w:r>
      <w:r w:rsidRPr="0005219F">
        <w:rPr>
          <w:rFonts w:eastAsia="仿宋_GB2312"/>
          <w:sz w:val="32"/>
          <w:szCs w:val="22"/>
        </w:rPr>
        <w:t>6</w:t>
      </w:r>
      <w:r w:rsidRPr="0005219F">
        <w:rPr>
          <w:rFonts w:eastAsia="仿宋_GB2312"/>
          <w:sz w:val="32"/>
          <w:szCs w:val="22"/>
        </w:rPr>
        <w:t>月</w:t>
      </w:r>
      <w:r w:rsidRPr="0005219F">
        <w:rPr>
          <w:rFonts w:eastAsia="仿宋_GB2312"/>
          <w:sz w:val="32"/>
          <w:szCs w:val="22"/>
        </w:rPr>
        <w:t>24</w:t>
      </w:r>
      <w:r w:rsidRPr="0005219F">
        <w:rPr>
          <w:rFonts w:eastAsia="仿宋_GB2312"/>
          <w:sz w:val="32"/>
          <w:szCs w:val="22"/>
        </w:rPr>
        <w:t>日召开第一次专家讨论会，邀请了研究者和业界代表对指导原则初稿进行了充分的讨论和交流，会后针对关键问题再次在核心工作组内展开讨论，并结合专家意见形成</w:t>
      </w:r>
      <w:r w:rsidR="004E38B1">
        <w:rPr>
          <w:rFonts w:eastAsia="仿宋_GB2312" w:hint="eastAsia"/>
          <w:sz w:val="32"/>
          <w:szCs w:val="22"/>
        </w:rPr>
        <w:t>初稿</w:t>
      </w:r>
      <w:r w:rsidRPr="0005219F">
        <w:rPr>
          <w:rFonts w:eastAsia="仿宋_GB2312"/>
          <w:sz w:val="32"/>
          <w:szCs w:val="22"/>
        </w:rPr>
        <w:t>。</w:t>
      </w:r>
      <w:r w:rsidR="004E38B1" w:rsidRPr="00176942">
        <w:rPr>
          <w:rFonts w:eastAsia="仿宋_GB2312" w:hint="eastAsia"/>
          <w:sz w:val="32"/>
          <w:szCs w:val="32"/>
        </w:rPr>
        <w:t>经药审</w:t>
      </w:r>
      <w:r w:rsidR="004E38B1" w:rsidRPr="00176942">
        <w:rPr>
          <w:rFonts w:eastAsia="仿宋_GB2312"/>
          <w:sz w:val="32"/>
          <w:szCs w:val="32"/>
        </w:rPr>
        <w:t>中心内部征求意见，部门技术委员会</w:t>
      </w:r>
      <w:r w:rsidR="004E38B1" w:rsidRPr="00176942">
        <w:rPr>
          <w:rFonts w:eastAsia="仿宋_GB2312" w:hint="eastAsia"/>
          <w:sz w:val="32"/>
          <w:szCs w:val="32"/>
        </w:rPr>
        <w:t>审核，</w:t>
      </w:r>
      <w:r w:rsidR="004E38B1" w:rsidRPr="00176942">
        <w:rPr>
          <w:rFonts w:eastAsia="仿宋_GB2312"/>
          <w:sz w:val="32"/>
          <w:szCs w:val="32"/>
        </w:rPr>
        <w:t>形成征求意见稿。</w:t>
      </w:r>
    </w:p>
    <w:p w:rsidR="0005219F" w:rsidRPr="0005219F" w:rsidRDefault="0005219F" w:rsidP="0005219F">
      <w:pPr>
        <w:snapToGrid w:val="0"/>
        <w:spacing w:line="360" w:lineRule="auto"/>
        <w:ind w:firstLineChars="196" w:firstLine="627"/>
        <w:rPr>
          <w:rFonts w:eastAsia="黑体"/>
          <w:color w:val="000000"/>
          <w:sz w:val="32"/>
          <w:szCs w:val="32"/>
        </w:rPr>
      </w:pPr>
      <w:r w:rsidRPr="0005219F">
        <w:rPr>
          <w:rFonts w:eastAsia="黑体"/>
          <w:color w:val="000000"/>
          <w:sz w:val="32"/>
          <w:szCs w:val="32"/>
        </w:rPr>
        <w:lastRenderedPageBreak/>
        <w:t>三、起草思路</w:t>
      </w:r>
    </w:p>
    <w:p w:rsidR="0005219F" w:rsidRPr="0005219F" w:rsidRDefault="0005219F" w:rsidP="0005219F">
      <w:pPr>
        <w:snapToGrid w:val="0"/>
        <w:spacing w:line="360" w:lineRule="auto"/>
        <w:ind w:firstLineChars="196" w:firstLine="627"/>
        <w:rPr>
          <w:rFonts w:eastAsia="黑体"/>
          <w:color w:val="000000"/>
          <w:sz w:val="32"/>
          <w:szCs w:val="32"/>
        </w:rPr>
      </w:pPr>
      <w:r w:rsidRPr="0005219F">
        <w:rPr>
          <w:rFonts w:eastAsia="仿宋_GB2312"/>
          <w:sz w:val="32"/>
          <w:szCs w:val="32"/>
        </w:rPr>
        <w:t>国际人用药品注册技术协调会（</w:t>
      </w:r>
      <w:r w:rsidRPr="0005219F">
        <w:rPr>
          <w:rFonts w:eastAsia="仿宋_GB2312"/>
          <w:sz w:val="32"/>
          <w:szCs w:val="32"/>
        </w:rPr>
        <w:t>ICH</w:t>
      </w:r>
      <w:r w:rsidRPr="0005219F">
        <w:rPr>
          <w:rFonts w:eastAsia="仿宋_GB2312"/>
          <w:sz w:val="32"/>
          <w:szCs w:val="32"/>
        </w:rPr>
        <w:t>）以及美国食品药品监督管理局（</w:t>
      </w:r>
      <w:r w:rsidRPr="0005219F">
        <w:rPr>
          <w:rFonts w:eastAsia="仿宋_GB2312"/>
          <w:sz w:val="32"/>
          <w:szCs w:val="32"/>
        </w:rPr>
        <w:t>FDA</w:t>
      </w:r>
      <w:r w:rsidRPr="0005219F">
        <w:rPr>
          <w:rFonts w:eastAsia="仿宋_GB2312"/>
          <w:sz w:val="32"/>
          <w:szCs w:val="32"/>
        </w:rPr>
        <w:t>）等各国监管机构均在探索如何将</w:t>
      </w:r>
      <w:r w:rsidRPr="0005219F">
        <w:rPr>
          <w:rFonts w:eastAsia="仿宋_GB2312"/>
          <w:sz w:val="32"/>
          <w:szCs w:val="32"/>
        </w:rPr>
        <w:t>“</w:t>
      </w:r>
      <w:r w:rsidRPr="0005219F">
        <w:rPr>
          <w:rFonts w:eastAsia="仿宋_GB2312"/>
          <w:sz w:val="32"/>
          <w:szCs w:val="32"/>
        </w:rPr>
        <w:t>以患者为中心</w:t>
      </w:r>
      <w:r w:rsidRPr="0005219F">
        <w:rPr>
          <w:rFonts w:eastAsia="仿宋_GB2312"/>
          <w:sz w:val="32"/>
          <w:szCs w:val="32"/>
        </w:rPr>
        <w:t>”</w:t>
      </w:r>
      <w:r w:rsidRPr="0005219F">
        <w:rPr>
          <w:rFonts w:eastAsia="仿宋_GB2312"/>
          <w:sz w:val="32"/>
          <w:szCs w:val="32"/>
        </w:rPr>
        <w:t>作为核心指导思想，将患者的体验、观点和需求纳入到药品临床试验的设计、实施和获益</w:t>
      </w:r>
      <w:r w:rsidRPr="0005219F">
        <w:rPr>
          <w:rFonts w:eastAsia="仿宋_GB2312"/>
          <w:sz w:val="32"/>
          <w:szCs w:val="32"/>
        </w:rPr>
        <w:t>-</w:t>
      </w:r>
      <w:r w:rsidRPr="0005219F">
        <w:rPr>
          <w:rFonts w:eastAsia="仿宋_GB2312"/>
          <w:sz w:val="32"/>
          <w:szCs w:val="32"/>
        </w:rPr>
        <w:t>风险评估中。目前，我国也着力发展以患者为中心的药物临床研发，先后发布了《以临床价值为导向的抗肿瘤药物临床研发指导原则》、《患者报告结局在药物临床研究中应用的指导原则》、《罕见病药物临床研发技术指导原则》、《组织患者参与药物研发的一般考虑指导原则（征求意见稿）》等指导原则。</w:t>
      </w:r>
    </w:p>
    <w:p w:rsidR="0005219F" w:rsidRPr="0005219F" w:rsidRDefault="0005219F" w:rsidP="0005219F">
      <w:pPr>
        <w:snapToGrid w:val="0"/>
        <w:spacing w:line="360" w:lineRule="auto"/>
        <w:ind w:firstLineChars="200" w:firstLine="640"/>
        <w:rPr>
          <w:rFonts w:eastAsia="仿宋_GB2312"/>
          <w:sz w:val="32"/>
          <w:szCs w:val="22"/>
        </w:rPr>
      </w:pPr>
      <w:r w:rsidRPr="0005219F">
        <w:rPr>
          <w:rFonts w:eastAsia="仿宋_GB2312"/>
          <w:sz w:val="32"/>
          <w:szCs w:val="22"/>
        </w:rPr>
        <w:t>起草过程中，工作组通过查阅国内外监管法规指南及文献资料、组织专家讨论、开展患者问卷调研等方法，构建了以患者为中心的药物临床试验设计、实施和评价体系的思路框架。本指导原则提出以患者为中心的临床试验获益</w:t>
      </w:r>
      <w:r w:rsidRPr="0005219F">
        <w:rPr>
          <w:rFonts w:eastAsia="仿宋_GB2312"/>
          <w:sz w:val="32"/>
          <w:szCs w:val="22"/>
        </w:rPr>
        <w:t>-</w:t>
      </w:r>
      <w:r w:rsidRPr="0005219F">
        <w:rPr>
          <w:rFonts w:eastAsia="仿宋_GB2312"/>
          <w:sz w:val="32"/>
          <w:szCs w:val="22"/>
        </w:rPr>
        <w:t>风险评估的一般原则，并提出基于患者体验数据进行获益</w:t>
      </w:r>
      <w:r w:rsidRPr="0005219F">
        <w:rPr>
          <w:rFonts w:eastAsia="仿宋_GB2312"/>
          <w:sz w:val="32"/>
          <w:szCs w:val="22"/>
        </w:rPr>
        <w:t>-</w:t>
      </w:r>
      <w:r w:rsidRPr="0005219F">
        <w:rPr>
          <w:rFonts w:eastAsia="仿宋_GB2312"/>
          <w:sz w:val="32"/>
          <w:szCs w:val="22"/>
        </w:rPr>
        <w:t>风险评估的适用范围和相关因素考量。</w:t>
      </w:r>
    </w:p>
    <w:p w:rsidR="0005219F" w:rsidRPr="0005219F" w:rsidRDefault="0005219F" w:rsidP="0005219F">
      <w:pPr>
        <w:adjustRightInd w:val="0"/>
        <w:snapToGrid w:val="0"/>
        <w:spacing w:line="360" w:lineRule="auto"/>
        <w:ind w:firstLineChars="231" w:firstLine="739"/>
        <w:jc w:val="left"/>
        <w:rPr>
          <w:rFonts w:eastAsia="黑体"/>
          <w:color w:val="000000"/>
          <w:sz w:val="32"/>
          <w:szCs w:val="32"/>
        </w:rPr>
      </w:pPr>
      <w:r w:rsidRPr="0005219F">
        <w:rPr>
          <w:rFonts w:eastAsia="黑体"/>
          <w:color w:val="000000"/>
          <w:sz w:val="32"/>
          <w:szCs w:val="32"/>
        </w:rPr>
        <w:t>四、主要内容</w:t>
      </w:r>
    </w:p>
    <w:p w:rsidR="0005219F" w:rsidRPr="0005219F" w:rsidRDefault="0005219F" w:rsidP="0005219F">
      <w:pPr>
        <w:snapToGrid w:val="0"/>
        <w:spacing w:line="360" w:lineRule="auto"/>
        <w:ind w:firstLineChars="200" w:firstLine="640"/>
        <w:rPr>
          <w:rFonts w:eastAsia="仿宋_GB2312"/>
          <w:sz w:val="32"/>
          <w:szCs w:val="22"/>
        </w:rPr>
      </w:pPr>
      <w:r w:rsidRPr="0005219F">
        <w:rPr>
          <w:rFonts w:eastAsia="仿宋_GB2312"/>
          <w:sz w:val="32"/>
          <w:szCs w:val="22"/>
        </w:rPr>
        <w:t>本指导原则主要分为六个章节和参考文献，六章节分别为引言、一般原则、患者体验数据的分类、患者体验数据支持获益</w:t>
      </w:r>
      <w:r w:rsidRPr="0005219F">
        <w:rPr>
          <w:rFonts w:eastAsia="仿宋_GB2312"/>
          <w:sz w:val="32"/>
          <w:szCs w:val="22"/>
        </w:rPr>
        <w:t>-</w:t>
      </w:r>
      <w:r w:rsidRPr="0005219F">
        <w:rPr>
          <w:rFonts w:eastAsia="仿宋_GB2312"/>
          <w:sz w:val="32"/>
          <w:szCs w:val="22"/>
        </w:rPr>
        <w:t>风险评估、沟通交流和结语。主要内容包括：</w:t>
      </w:r>
    </w:p>
    <w:p w:rsidR="0005219F" w:rsidRPr="0005219F" w:rsidRDefault="0005219F" w:rsidP="0005219F">
      <w:pPr>
        <w:snapToGrid w:val="0"/>
        <w:spacing w:line="360" w:lineRule="auto"/>
        <w:ind w:firstLineChars="200" w:firstLine="640"/>
        <w:rPr>
          <w:rFonts w:eastAsia="仿宋_GB2312"/>
          <w:sz w:val="32"/>
          <w:szCs w:val="22"/>
        </w:rPr>
      </w:pPr>
      <w:r w:rsidRPr="0005219F">
        <w:rPr>
          <w:rFonts w:eastAsia="仿宋_GB2312"/>
          <w:sz w:val="32"/>
          <w:szCs w:val="22"/>
        </w:rPr>
        <w:t>第一节</w:t>
      </w:r>
      <w:r w:rsidRPr="0005219F">
        <w:rPr>
          <w:rFonts w:eastAsia="仿宋_GB2312"/>
          <w:sz w:val="32"/>
          <w:szCs w:val="22"/>
        </w:rPr>
        <w:t xml:space="preserve"> </w:t>
      </w:r>
      <w:r w:rsidRPr="0005219F">
        <w:rPr>
          <w:rFonts w:eastAsia="仿宋_GB2312"/>
          <w:sz w:val="32"/>
          <w:szCs w:val="22"/>
        </w:rPr>
        <w:t>引言：主要阐述了本指导原则的背景和意义、患者体验数据的定义、本指导原则主要内容及适用范围。</w:t>
      </w:r>
    </w:p>
    <w:p w:rsidR="0005219F" w:rsidRPr="0005219F" w:rsidRDefault="0005219F" w:rsidP="0005219F">
      <w:pPr>
        <w:snapToGrid w:val="0"/>
        <w:spacing w:line="360" w:lineRule="auto"/>
        <w:ind w:firstLineChars="200" w:firstLine="640"/>
        <w:rPr>
          <w:rFonts w:eastAsia="仿宋_GB2312"/>
          <w:sz w:val="32"/>
          <w:szCs w:val="32"/>
        </w:rPr>
      </w:pPr>
      <w:r w:rsidRPr="0005219F">
        <w:rPr>
          <w:rFonts w:eastAsia="仿宋_GB2312"/>
          <w:sz w:val="32"/>
          <w:szCs w:val="22"/>
        </w:rPr>
        <w:lastRenderedPageBreak/>
        <w:t>第二节</w:t>
      </w:r>
      <w:r w:rsidRPr="0005219F">
        <w:rPr>
          <w:rFonts w:eastAsia="仿宋_GB2312"/>
          <w:sz w:val="32"/>
          <w:szCs w:val="22"/>
        </w:rPr>
        <w:t xml:space="preserve"> </w:t>
      </w:r>
      <w:r w:rsidRPr="0005219F">
        <w:rPr>
          <w:rFonts w:eastAsia="仿宋_GB2312"/>
          <w:sz w:val="32"/>
          <w:szCs w:val="22"/>
        </w:rPr>
        <w:t>一般原则：明确了患者体验数据使用的基本原则，可靠的患者体验数据可作为获益</w:t>
      </w:r>
      <w:r w:rsidRPr="0005219F">
        <w:rPr>
          <w:rFonts w:eastAsia="仿宋_GB2312"/>
          <w:sz w:val="32"/>
          <w:szCs w:val="22"/>
        </w:rPr>
        <w:t>-</w:t>
      </w:r>
      <w:r w:rsidRPr="0005219F">
        <w:rPr>
          <w:rFonts w:eastAsia="仿宋_GB2312"/>
          <w:sz w:val="32"/>
          <w:szCs w:val="22"/>
        </w:rPr>
        <w:t>风险评估的证据之一，</w:t>
      </w:r>
      <w:r w:rsidRPr="0005219F">
        <w:rPr>
          <w:rFonts w:eastAsia="仿宋_GB2312"/>
          <w:sz w:val="32"/>
          <w:szCs w:val="32"/>
        </w:rPr>
        <w:t>应用方法学合理的、适用于目的收集工具获得的</w:t>
      </w:r>
      <w:r w:rsidRPr="0005219F">
        <w:rPr>
          <w:rFonts w:eastAsia="仿宋_GB2312"/>
          <w:sz w:val="32"/>
          <w:szCs w:val="22"/>
        </w:rPr>
        <w:t>患者体验数据，可增加其</w:t>
      </w:r>
      <w:r w:rsidRPr="0005219F">
        <w:rPr>
          <w:rFonts w:eastAsia="仿宋_GB2312"/>
          <w:sz w:val="32"/>
          <w:szCs w:val="32"/>
        </w:rPr>
        <w:t>在获益</w:t>
      </w:r>
      <w:r w:rsidRPr="0005219F">
        <w:rPr>
          <w:rFonts w:eastAsia="仿宋_GB2312"/>
          <w:sz w:val="32"/>
          <w:szCs w:val="32"/>
        </w:rPr>
        <w:t>-</w:t>
      </w:r>
      <w:r w:rsidRPr="0005219F">
        <w:rPr>
          <w:rFonts w:eastAsia="仿宋_GB2312"/>
          <w:sz w:val="32"/>
          <w:szCs w:val="32"/>
        </w:rPr>
        <w:t>风险评估中的适用性。此外，</w:t>
      </w:r>
      <w:r w:rsidRPr="0005219F">
        <w:rPr>
          <w:rFonts w:eastAsia="仿宋_GB2312"/>
          <w:sz w:val="32"/>
          <w:szCs w:val="22"/>
        </w:rPr>
        <w:t>体验数据的</w:t>
      </w:r>
      <w:r w:rsidRPr="0005219F">
        <w:rPr>
          <w:rFonts w:eastAsia="仿宋_GB2312"/>
          <w:sz w:val="32"/>
          <w:szCs w:val="32"/>
        </w:rPr>
        <w:t>收集过程是贯穿药品研发全生命周期的、是动态的、逐步深入的。</w:t>
      </w:r>
    </w:p>
    <w:p w:rsidR="0005219F" w:rsidRPr="0005219F" w:rsidRDefault="0005219F" w:rsidP="0005219F">
      <w:pPr>
        <w:snapToGrid w:val="0"/>
        <w:spacing w:line="360" w:lineRule="auto"/>
        <w:ind w:firstLine="640"/>
        <w:rPr>
          <w:rFonts w:eastAsia="仿宋_GB2312"/>
          <w:sz w:val="32"/>
          <w:szCs w:val="22"/>
        </w:rPr>
      </w:pPr>
      <w:r w:rsidRPr="0005219F">
        <w:rPr>
          <w:rFonts w:eastAsia="仿宋_GB2312"/>
          <w:sz w:val="32"/>
          <w:szCs w:val="22"/>
        </w:rPr>
        <w:t>第三节</w:t>
      </w:r>
      <w:r w:rsidRPr="0005219F">
        <w:rPr>
          <w:rFonts w:eastAsia="仿宋_GB2312"/>
          <w:sz w:val="32"/>
          <w:szCs w:val="22"/>
        </w:rPr>
        <w:t xml:space="preserve"> </w:t>
      </w:r>
      <w:r w:rsidRPr="0005219F">
        <w:rPr>
          <w:rFonts w:eastAsia="仿宋_GB2312"/>
          <w:sz w:val="32"/>
          <w:szCs w:val="22"/>
        </w:rPr>
        <w:t>患者体验数据的分类：首先讨论了患者体验数据的几种分类方法，其次重点阐述了临床结局评估（</w:t>
      </w:r>
      <w:r w:rsidRPr="0005219F">
        <w:rPr>
          <w:rFonts w:eastAsia="仿宋_GB2312"/>
          <w:sz w:val="32"/>
          <w:szCs w:val="22"/>
        </w:rPr>
        <w:t>COA</w:t>
      </w:r>
      <w:r w:rsidRPr="0005219F">
        <w:rPr>
          <w:rFonts w:eastAsia="仿宋_GB2312"/>
          <w:sz w:val="32"/>
          <w:szCs w:val="22"/>
        </w:rPr>
        <w:t>）和患者偏好信息（</w:t>
      </w:r>
      <w:r w:rsidRPr="0005219F">
        <w:rPr>
          <w:rFonts w:eastAsia="仿宋_GB2312"/>
          <w:sz w:val="32"/>
          <w:szCs w:val="22"/>
        </w:rPr>
        <w:t>PPI</w:t>
      </w:r>
      <w:r w:rsidRPr="0005219F">
        <w:rPr>
          <w:rFonts w:eastAsia="仿宋_GB2312"/>
          <w:sz w:val="32"/>
          <w:szCs w:val="22"/>
        </w:rPr>
        <w:t>）两类患者体验数据，主要描述了两者定义、分类以及在获益</w:t>
      </w:r>
      <w:r w:rsidRPr="0005219F">
        <w:rPr>
          <w:rFonts w:eastAsia="仿宋_GB2312"/>
          <w:sz w:val="32"/>
          <w:szCs w:val="22"/>
        </w:rPr>
        <w:t>-</w:t>
      </w:r>
      <w:r w:rsidRPr="0005219F">
        <w:rPr>
          <w:rFonts w:eastAsia="仿宋_GB2312"/>
          <w:sz w:val="32"/>
          <w:szCs w:val="22"/>
        </w:rPr>
        <w:t>风险评估中的应用考量。</w:t>
      </w:r>
    </w:p>
    <w:p w:rsidR="0005219F" w:rsidRPr="0005219F" w:rsidRDefault="0005219F" w:rsidP="0005219F">
      <w:pPr>
        <w:snapToGrid w:val="0"/>
        <w:spacing w:line="360" w:lineRule="auto"/>
        <w:ind w:firstLine="640"/>
        <w:rPr>
          <w:rFonts w:eastAsia="仿宋_GB2312"/>
          <w:sz w:val="32"/>
          <w:szCs w:val="22"/>
        </w:rPr>
      </w:pPr>
      <w:r w:rsidRPr="0005219F">
        <w:rPr>
          <w:rFonts w:eastAsia="仿宋_GB2312"/>
          <w:sz w:val="32"/>
          <w:szCs w:val="22"/>
        </w:rPr>
        <w:t>第四节</w:t>
      </w:r>
      <w:r w:rsidRPr="0005219F">
        <w:rPr>
          <w:rFonts w:eastAsia="仿宋_GB2312"/>
          <w:sz w:val="32"/>
          <w:szCs w:val="22"/>
        </w:rPr>
        <w:t xml:space="preserve"> </w:t>
      </w:r>
      <w:r w:rsidRPr="0005219F">
        <w:rPr>
          <w:rFonts w:eastAsia="仿宋_GB2312"/>
          <w:sz w:val="32"/>
          <w:szCs w:val="22"/>
        </w:rPr>
        <w:t>患者体验数据支持获益</w:t>
      </w:r>
      <w:r w:rsidRPr="0005219F">
        <w:rPr>
          <w:rFonts w:eastAsia="仿宋_GB2312"/>
          <w:sz w:val="32"/>
          <w:szCs w:val="22"/>
        </w:rPr>
        <w:t>-</w:t>
      </w:r>
      <w:r w:rsidRPr="0005219F">
        <w:rPr>
          <w:rFonts w:eastAsia="仿宋_GB2312"/>
          <w:sz w:val="32"/>
          <w:szCs w:val="22"/>
        </w:rPr>
        <w:t>风险评估：分为三部分。第一部分阐述了获益风险评估的重要因素，包括疾病背景分析、当前治疗选择、具体药物获益、风险及风险管理。第二部分阐述了患者体验数据在获益风险评估的不同环节中的适用性，重点内容归纳于指导原则正文表</w:t>
      </w:r>
      <w:r w:rsidRPr="0005219F">
        <w:rPr>
          <w:rFonts w:eastAsia="仿宋_GB2312"/>
          <w:sz w:val="32"/>
          <w:szCs w:val="22"/>
        </w:rPr>
        <w:t>1</w:t>
      </w:r>
      <w:r w:rsidRPr="0005219F">
        <w:rPr>
          <w:rFonts w:eastAsia="仿宋_GB2312"/>
          <w:sz w:val="32"/>
          <w:szCs w:val="22"/>
        </w:rPr>
        <w:t>。第三部分阐述了患者体验数据在药物全生命周期的不同阶段用于获益风险评估的场景。</w:t>
      </w:r>
    </w:p>
    <w:p w:rsidR="0005219F" w:rsidRPr="0005219F" w:rsidRDefault="0005219F" w:rsidP="0005219F">
      <w:pPr>
        <w:snapToGrid w:val="0"/>
        <w:spacing w:line="360" w:lineRule="auto"/>
        <w:ind w:firstLine="640"/>
        <w:rPr>
          <w:rFonts w:eastAsia="仿宋_GB2312"/>
          <w:sz w:val="32"/>
          <w:szCs w:val="22"/>
        </w:rPr>
      </w:pPr>
      <w:r w:rsidRPr="0005219F">
        <w:rPr>
          <w:rFonts w:eastAsia="仿宋_GB2312"/>
          <w:sz w:val="32"/>
          <w:szCs w:val="22"/>
        </w:rPr>
        <w:t>第五节</w:t>
      </w:r>
      <w:r w:rsidRPr="0005219F">
        <w:rPr>
          <w:rFonts w:eastAsia="仿宋_GB2312"/>
          <w:sz w:val="32"/>
          <w:szCs w:val="22"/>
        </w:rPr>
        <w:t xml:space="preserve"> </w:t>
      </w:r>
      <w:r w:rsidRPr="0005219F">
        <w:rPr>
          <w:rFonts w:eastAsia="仿宋_GB2312"/>
          <w:sz w:val="32"/>
          <w:szCs w:val="22"/>
        </w:rPr>
        <w:t>沟通交流：</w:t>
      </w:r>
      <w:r w:rsidRPr="0005219F">
        <w:rPr>
          <w:rFonts w:eastAsia="仿宋_GB2312"/>
          <w:sz w:val="32"/>
          <w:szCs w:val="32"/>
        </w:rPr>
        <w:t>鼓励申办者在计划收集和利用患者体验数据作为获益</w:t>
      </w:r>
      <w:r w:rsidRPr="0005219F">
        <w:rPr>
          <w:rFonts w:eastAsia="仿宋_GB2312"/>
          <w:sz w:val="32"/>
          <w:szCs w:val="32"/>
        </w:rPr>
        <w:t>-</w:t>
      </w:r>
      <w:r w:rsidRPr="0005219F">
        <w:rPr>
          <w:rFonts w:eastAsia="仿宋_GB2312"/>
          <w:sz w:val="32"/>
          <w:szCs w:val="32"/>
        </w:rPr>
        <w:t>风险评估时，尽早与审评机构沟通，以获得关于研究设计、数据采集和监管是否符合要求的及时反馈。</w:t>
      </w:r>
    </w:p>
    <w:p w:rsidR="00BA10DB" w:rsidRPr="00D230DC" w:rsidRDefault="0005219F" w:rsidP="00D230DC">
      <w:pPr>
        <w:snapToGrid w:val="0"/>
        <w:spacing w:line="360" w:lineRule="auto"/>
        <w:ind w:firstLine="640"/>
        <w:rPr>
          <w:rFonts w:eastAsia="仿宋" w:hint="eastAsia"/>
          <w:color w:val="000000"/>
          <w:sz w:val="32"/>
          <w:szCs w:val="32"/>
        </w:rPr>
      </w:pPr>
      <w:r w:rsidRPr="0005219F">
        <w:rPr>
          <w:rFonts w:eastAsia="仿宋_GB2312"/>
          <w:sz w:val="32"/>
          <w:szCs w:val="22"/>
        </w:rPr>
        <w:t>第六节</w:t>
      </w:r>
      <w:r w:rsidRPr="0005219F">
        <w:rPr>
          <w:rFonts w:eastAsia="仿宋_GB2312"/>
          <w:sz w:val="32"/>
          <w:szCs w:val="22"/>
        </w:rPr>
        <w:t xml:space="preserve"> </w:t>
      </w:r>
      <w:r w:rsidRPr="0005219F">
        <w:rPr>
          <w:rFonts w:eastAsia="仿宋_GB2312"/>
          <w:sz w:val="32"/>
          <w:szCs w:val="22"/>
        </w:rPr>
        <w:t>结语：对本指导原则进行了总结，并提出目前存在的困难和挑战及对未来的展望。</w:t>
      </w:r>
      <w:bookmarkStart w:id="0" w:name="_GoBack"/>
      <w:bookmarkEnd w:id="0"/>
    </w:p>
    <w:sectPr w:rsidR="00BA10DB" w:rsidRPr="00D230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2CA" w:rsidRDefault="00CD02CA" w:rsidP="00694E07">
      <w:r>
        <w:separator/>
      </w:r>
    </w:p>
  </w:endnote>
  <w:endnote w:type="continuationSeparator" w:id="0">
    <w:p w:rsidR="00CD02CA" w:rsidRDefault="00CD02CA" w:rsidP="0069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2CA" w:rsidRDefault="00CD02CA" w:rsidP="00694E07">
      <w:r>
        <w:separator/>
      </w:r>
    </w:p>
  </w:footnote>
  <w:footnote w:type="continuationSeparator" w:id="0">
    <w:p w:rsidR="00CD02CA" w:rsidRDefault="00CD02CA" w:rsidP="00694E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7483"/>
    <w:multiLevelType w:val="singleLevel"/>
    <w:tmpl w:val="17957483"/>
    <w:lvl w:ilvl="0">
      <w:start w:val="2"/>
      <w:numFmt w:val="chineseCounting"/>
      <w:lvlText w:val="%1、"/>
      <w:lvlJc w:val="left"/>
      <w:pPr>
        <w:ind w:left="420" w:hanging="420"/>
      </w:pPr>
      <w:rPr>
        <w:rFonts w:hint="eastAsia"/>
      </w:rPr>
    </w:lvl>
  </w:abstractNum>
  <w:abstractNum w:abstractNumId="1" w15:restartNumberingAfterBreak="0">
    <w:nsid w:val="44E42C48"/>
    <w:multiLevelType w:val="hybridMultilevel"/>
    <w:tmpl w:val="402E90E8"/>
    <w:lvl w:ilvl="0" w:tplc="B96CF046">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34"/>
    <w:rsid w:val="0000618F"/>
    <w:rsid w:val="000124C5"/>
    <w:rsid w:val="00013AE4"/>
    <w:rsid w:val="00015525"/>
    <w:rsid w:val="00021CFA"/>
    <w:rsid w:val="000256A4"/>
    <w:rsid w:val="00033843"/>
    <w:rsid w:val="00037269"/>
    <w:rsid w:val="00040BD3"/>
    <w:rsid w:val="000420DB"/>
    <w:rsid w:val="0005069B"/>
    <w:rsid w:val="0005219F"/>
    <w:rsid w:val="000545F8"/>
    <w:rsid w:val="00054DF6"/>
    <w:rsid w:val="000554FE"/>
    <w:rsid w:val="00074315"/>
    <w:rsid w:val="000814CF"/>
    <w:rsid w:val="00091163"/>
    <w:rsid w:val="0009142A"/>
    <w:rsid w:val="00091927"/>
    <w:rsid w:val="000B1CA7"/>
    <w:rsid w:val="000B6599"/>
    <w:rsid w:val="000D4CEF"/>
    <w:rsid w:val="000E0D54"/>
    <w:rsid w:val="000F7CAE"/>
    <w:rsid w:val="000F7D98"/>
    <w:rsid w:val="0010683B"/>
    <w:rsid w:val="00110A84"/>
    <w:rsid w:val="00115B63"/>
    <w:rsid w:val="001268A4"/>
    <w:rsid w:val="00136C12"/>
    <w:rsid w:val="00157E16"/>
    <w:rsid w:val="00157FA2"/>
    <w:rsid w:val="00157FC6"/>
    <w:rsid w:val="00160834"/>
    <w:rsid w:val="00160B61"/>
    <w:rsid w:val="001738AE"/>
    <w:rsid w:val="0017390E"/>
    <w:rsid w:val="001759F7"/>
    <w:rsid w:val="00176942"/>
    <w:rsid w:val="001830CB"/>
    <w:rsid w:val="001928B1"/>
    <w:rsid w:val="00193482"/>
    <w:rsid w:val="00197492"/>
    <w:rsid w:val="001C4D28"/>
    <w:rsid w:val="001C7FE5"/>
    <w:rsid w:val="001D3CE7"/>
    <w:rsid w:val="001D43FB"/>
    <w:rsid w:val="001E4C79"/>
    <w:rsid w:val="001E63DC"/>
    <w:rsid w:val="001F1B27"/>
    <w:rsid w:val="001F3B74"/>
    <w:rsid w:val="001F56F0"/>
    <w:rsid w:val="0021053D"/>
    <w:rsid w:val="00215E23"/>
    <w:rsid w:val="00241612"/>
    <w:rsid w:val="00271C50"/>
    <w:rsid w:val="00274DB7"/>
    <w:rsid w:val="0027769E"/>
    <w:rsid w:val="002A46F6"/>
    <w:rsid w:val="002B4251"/>
    <w:rsid w:val="002C449C"/>
    <w:rsid w:val="002C7320"/>
    <w:rsid w:val="002D7DCB"/>
    <w:rsid w:val="002E41AB"/>
    <w:rsid w:val="002E46A6"/>
    <w:rsid w:val="0030523E"/>
    <w:rsid w:val="00305E68"/>
    <w:rsid w:val="0031478C"/>
    <w:rsid w:val="003201CD"/>
    <w:rsid w:val="00322C35"/>
    <w:rsid w:val="003314A9"/>
    <w:rsid w:val="003333CD"/>
    <w:rsid w:val="003439CD"/>
    <w:rsid w:val="00371A58"/>
    <w:rsid w:val="003767DA"/>
    <w:rsid w:val="003824A5"/>
    <w:rsid w:val="00385B44"/>
    <w:rsid w:val="00390C58"/>
    <w:rsid w:val="00391EC9"/>
    <w:rsid w:val="00394F32"/>
    <w:rsid w:val="003A14D5"/>
    <w:rsid w:val="003A7424"/>
    <w:rsid w:val="003C34F4"/>
    <w:rsid w:val="003C623A"/>
    <w:rsid w:val="003D2C04"/>
    <w:rsid w:val="003D7DB2"/>
    <w:rsid w:val="003F587D"/>
    <w:rsid w:val="00416727"/>
    <w:rsid w:val="0044424B"/>
    <w:rsid w:val="00451688"/>
    <w:rsid w:val="004802A5"/>
    <w:rsid w:val="004843D3"/>
    <w:rsid w:val="004A1424"/>
    <w:rsid w:val="004A4789"/>
    <w:rsid w:val="004B0F6D"/>
    <w:rsid w:val="004B7A6F"/>
    <w:rsid w:val="004C5312"/>
    <w:rsid w:val="004D0A51"/>
    <w:rsid w:val="004D11F3"/>
    <w:rsid w:val="004D1A24"/>
    <w:rsid w:val="004D58F8"/>
    <w:rsid w:val="004E38B1"/>
    <w:rsid w:val="00506778"/>
    <w:rsid w:val="005107FD"/>
    <w:rsid w:val="0053311F"/>
    <w:rsid w:val="00534168"/>
    <w:rsid w:val="00542636"/>
    <w:rsid w:val="00542AB8"/>
    <w:rsid w:val="005560A8"/>
    <w:rsid w:val="00564616"/>
    <w:rsid w:val="00591236"/>
    <w:rsid w:val="00594DDD"/>
    <w:rsid w:val="005B5C17"/>
    <w:rsid w:val="005D065C"/>
    <w:rsid w:val="005D69E8"/>
    <w:rsid w:val="005E1158"/>
    <w:rsid w:val="00610594"/>
    <w:rsid w:val="00614BD8"/>
    <w:rsid w:val="006253E0"/>
    <w:rsid w:val="00637F7C"/>
    <w:rsid w:val="00641468"/>
    <w:rsid w:val="00641AEF"/>
    <w:rsid w:val="00657755"/>
    <w:rsid w:val="00663725"/>
    <w:rsid w:val="00674A5D"/>
    <w:rsid w:val="006831D5"/>
    <w:rsid w:val="00694E07"/>
    <w:rsid w:val="0069540E"/>
    <w:rsid w:val="0069604A"/>
    <w:rsid w:val="006A1615"/>
    <w:rsid w:val="006B4A72"/>
    <w:rsid w:val="006C4E10"/>
    <w:rsid w:val="00710887"/>
    <w:rsid w:val="00727728"/>
    <w:rsid w:val="0073313B"/>
    <w:rsid w:val="007666E6"/>
    <w:rsid w:val="007724E0"/>
    <w:rsid w:val="00772DE3"/>
    <w:rsid w:val="007808A1"/>
    <w:rsid w:val="0078457D"/>
    <w:rsid w:val="007914D3"/>
    <w:rsid w:val="00792945"/>
    <w:rsid w:val="007A12B9"/>
    <w:rsid w:val="007A5247"/>
    <w:rsid w:val="007A7D0F"/>
    <w:rsid w:val="007B1545"/>
    <w:rsid w:val="007B5F7D"/>
    <w:rsid w:val="007C0F59"/>
    <w:rsid w:val="007E7744"/>
    <w:rsid w:val="007E7F47"/>
    <w:rsid w:val="007F3BF5"/>
    <w:rsid w:val="007F4645"/>
    <w:rsid w:val="00814872"/>
    <w:rsid w:val="008171BC"/>
    <w:rsid w:val="008222CA"/>
    <w:rsid w:val="0083268E"/>
    <w:rsid w:val="008540F2"/>
    <w:rsid w:val="00854BC8"/>
    <w:rsid w:val="0086546F"/>
    <w:rsid w:val="008742F5"/>
    <w:rsid w:val="008813E9"/>
    <w:rsid w:val="0088169A"/>
    <w:rsid w:val="008856A8"/>
    <w:rsid w:val="0088587F"/>
    <w:rsid w:val="0089236A"/>
    <w:rsid w:val="008A03BA"/>
    <w:rsid w:val="008A2B90"/>
    <w:rsid w:val="008D5234"/>
    <w:rsid w:val="008E09E3"/>
    <w:rsid w:val="008F28C7"/>
    <w:rsid w:val="00901B5D"/>
    <w:rsid w:val="00905BFC"/>
    <w:rsid w:val="009163A1"/>
    <w:rsid w:val="0092551D"/>
    <w:rsid w:val="009271FF"/>
    <w:rsid w:val="0094042D"/>
    <w:rsid w:val="009457AB"/>
    <w:rsid w:val="009462A1"/>
    <w:rsid w:val="00950B29"/>
    <w:rsid w:val="00950B39"/>
    <w:rsid w:val="00966CA5"/>
    <w:rsid w:val="00972C2A"/>
    <w:rsid w:val="0098179A"/>
    <w:rsid w:val="009A1F2F"/>
    <w:rsid w:val="009A646B"/>
    <w:rsid w:val="009B703A"/>
    <w:rsid w:val="009C1E24"/>
    <w:rsid w:val="009C20E2"/>
    <w:rsid w:val="009C7EFF"/>
    <w:rsid w:val="009D56A1"/>
    <w:rsid w:val="009D5F05"/>
    <w:rsid w:val="009E5331"/>
    <w:rsid w:val="009F5384"/>
    <w:rsid w:val="00A2111B"/>
    <w:rsid w:val="00A31B34"/>
    <w:rsid w:val="00A452E5"/>
    <w:rsid w:val="00A47675"/>
    <w:rsid w:val="00A512EA"/>
    <w:rsid w:val="00A53FA1"/>
    <w:rsid w:val="00A65DF8"/>
    <w:rsid w:val="00A726DD"/>
    <w:rsid w:val="00AA491A"/>
    <w:rsid w:val="00AB04D9"/>
    <w:rsid w:val="00AB053C"/>
    <w:rsid w:val="00AB1A6B"/>
    <w:rsid w:val="00AC2A40"/>
    <w:rsid w:val="00AC4250"/>
    <w:rsid w:val="00AC574A"/>
    <w:rsid w:val="00AD20B7"/>
    <w:rsid w:val="00AD3165"/>
    <w:rsid w:val="00AD69CE"/>
    <w:rsid w:val="00AD71B7"/>
    <w:rsid w:val="00AE1EFB"/>
    <w:rsid w:val="00AE3E89"/>
    <w:rsid w:val="00AF051D"/>
    <w:rsid w:val="00AF46EF"/>
    <w:rsid w:val="00B41A6B"/>
    <w:rsid w:val="00B73412"/>
    <w:rsid w:val="00B770CB"/>
    <w:rsid w:val="00B86116"/>
    <w:rsid w:val="00B95210"/>
    <w:rsid w:val="00BA022A"/>
    <w:rsid w:val="00BA10DB"/>
    <w:rsid w:val="00BA58C0"/>
    <w:rsid w:val="00BA77A3"/>
    <w:rsid w:val="00BB6F17"/>
    <w:rsid w:val="00BC075C"/>
    <w:rsid w:val="00BE4682"/>
    <w:rsid w:val="00BF6350"/>
    <w:rsid w:val="00C11428"/>
    <w:rsid w:val="00C11A8B"/>
    <w:rsid w:val="00C138CB"/>
    <w:rsid w:val="00C146DB"/>
    <w:rsid w:val="00C50694"/>
    <w:rsid w:val="00C50F4C"/>
    <w:rsid w:val="00C6761E"/>
    <w:rsid w:val="00C83175"/>
    <w:rsid w:val="00C84854"/>
    <w:rsid w:val="00C8489B"/>
    <w:rsid w:val="00C8790C"/>
    <w:rsid w:val="00C95EAC"/>
    <w:rsid w:val="00CA2BB4"/>
    <w:rsid w:val="00CA4BF8"/>
    <w:rsid w:val="00CA75F2"/>
    <w:rsid w:val="00CC106E"/>
    <w:rsid w:val="00CD02CA"/>
    <w:rsid w:val="00CD637E"/>
    <w:rsid w:val="00CF2F49"/>
    <w:rsid w:val="00CF305B"/>
    <w:rsid w:val="00D03433"/>
    <w:rsid w:val="00D04807"/>
    <w:rsid w:val="00D05CDB"/>
    <w:rsid w:val="00D10E72"/>
    <w:rsid w:val="00D10E92"/>
    <w:rsid w:val="00D13215"/>
    <w:rsid w:val="00D16F83"/>
    <w:rsid w:val="00D22703"/>
    <w:rsid w:val="00D22EED"/>
    <w:rsid w:val="00D230DC"/>
    <w:rsid w:val="00D24BC9"/>
    <w:rsid w:val="00D257AA"/>
    <w:rsid w:val="00D26DBC"/>
    <w:rsid w:val="00D519A2"/>
    <w:rsid w:val="00D568C4"/>
    <w:rsid w:val="00D837DF"/>
    <w:rsid w:val="00D86CBA"/>
    <w:rsid w:val="00D95CD2"/>
    <w:rsid w:val="00DA198D"/>
    <w:rsid w:val="00DA309E"/>
    <w:rsid w:val="00DB2E90"/>
    <w:rsid w:val="00DB79DA"/>
    <w:rsid w:val="00DD1AF0"/>
    <w:rsid w:val="00DF6FFF"/>
    <w:rsid w:val="00E01D6E"/>
    <w:rsid w:val="00E07CA9"/>
    <w:rsid w:val="00E12D40"/>
    <w:rsid w:val="00E151CF"/>
    <w:rsid w:val="00E21FC2"/>
    <w:rsid w:val="00E4797B"/>
    <w:rsid w:val="00E5399A"/>
    <w:rsid w:val="00E67083"/>
    <w:rsid w:val="00E8290E"/>
    <w:rsid w:val="00E846FE"/>
    <w:rsid w:val="00E86A48"/>
    <w:rsid w:val="00E94CA8"/>
    <w:rsid w:val="00EA2FD6"/>
    <w:rsid w:val="00EA7F49"/>
    <w:rsid w:val="00ED2236"/>
    <w:rsid w:val="00EE4707"/>
    <w:rsid w:val="00F16644"/>
    <w:rsid w:val="00F205A3"/>
    <w:rsid w:val="00F2066B"/>
    <w:rsid w:val="00F21D3F"/>
    <w:rsid w:val="00F30778"/>
    <w:rsid w:val="00F33AB8"/>
    <w:rsid w:val="00F33D9C"/>
    <w:rsid w:val="00F40FE5"/>
    <w:rsid w:val="00F428AF"/>
    <w:rsid w:val="00F44CBB"/>
    <w:rsid w:val="00F46E55"/>
    <w:rsid w:val="00F50E72"/>
    <w:rsid w:val="00F66CA8"/>
    <w:rsid w:val="00F835E0"/>
    <w:rsid w:val="00F97830"/>
    <w:rsid w:val="00FB6681"/>
    <w:rsid w:val="00FC3A6A"/>
    <w:rsid w:val="00FD1DD5"/>
    <w:rsid w:val="00FD55ED"/>
    <w:rsid w:val="00FD7262"/>
    <w:rsid w:val="00FF7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876B6"/>
  <w15:chartTrackingRefBased/>
  <w15:docId w15:val="{4CD71E56-14E5-44B6-9F71-B6A28374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sz w:val="24"/>
        <w:szCs w:val="24"/>
        <w:u w:color="000000"/>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234"/>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1C50"/>
    <w:pPr>
      <w:ind w:leftChars="2500" w:left="100"/>
    </w:pPr>
  </w:style>
  <w:style w:type="character" w:customStyle="1" w:styleId="a4">
    <w:name w:val="日期 字符"/>
    <w:basedOn w:val="a0"/>
    <w:link w:val="a3"/>
    <w:uiPriority w:val="99"/>
    <w:semiHidden/>
    <w:rsid w:val="00271C50"/>
    <w:rPr>
      <w:rFonts w:ascii="Times New Roman" w:hAnsi="Times New Roman" w:cs="Times New Roman"/>
      <w:kern w:val="2"/>
      <w:sz w:val="21"/>
    </w:rPr>
  </w:style>
  <w:style w:type="paragraph" w:customStyle="1" w:styleId="Default">
    <w:name w:val="Default"/>
    <w:rsid w:val="00DB2E90"/>
    <w:pPr>
      <w:widowControl w:val="0"/>
      <w:autoSpaceDE w:val="0"/>
      <w:autoSpaceDN w:val="0"/>
      <w:adjustRightInd w:val="0"/>
    </w:pPr>
    <w:rPr>
      <w:rFonts w:ascii="仿宋_GB2312" w:eastAsia="仿宋_GB2312" w:cs="仿宋_GB2312"/>
      <w:color w:val="000000"/>
    </w:rPr>
  </w:style>
  <w:style w:type="paragraph" w:styleId="a5">
    <w:name w:val="header"/>
    <w:basedOn w:val="a"/>
    <w:link w:val="a6"/>
    <w:uiPriority w:val="99"/>
    <w:unhideWhenUsed/>
    <w:rsid w:val="00694E0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94E07"/>
    <w:rPr>
      <w:rFonts w:ascii="Times New Roman" w:hAnsi="Times New Roman" w:cs="Times New Roman"/>
      <w:kern w:val="2"/>
      <w:sz w:val="18"/>
      <w:szCs w:val="18"/>
    </w:rPr>
  </w:style>
  <w:style w:type="paragraph" w:styleId="a7">
    <w:name w:val="footer"/>
    <w:basedOn w:val="a"/>
    <w:link w:val="a8"/>
    <w:uiPriority w:val="99"/>
    <w:unhideWhenUsed/>
    <w:rsid w:val="00694E07"/>
    <w:pPr>
      <w:tabs>
        <w:tab w:val="center" w:pos="4153"/>
        <w:tab w:val="right" w:pos="8306"/>
      </w:tabs>
      <w:snapToGrid w:val="0"/>
      <w:jc w:val="left"/>
    </w:pPr>
    <w:rPr>
      <w:sz w:val="18"/>
      <w:szCs w:val="18"/>
    </w:rPr>
  </w:style>
  <w:style w:type="character" w:customStyle="1" w:styleId="a8">
    <w:name w:val="页脚 字符"/>
    <w:basedOn w:val="a0"/>
    <w:link w:val="a7"/>
    <w:uiPriority w:val="99"/>
    <w:rsid w:val="00694E07"/>
    <w:rPr>
      <w:rFonts w:ascii="Times New Roman" w:hAnsi="Times New Roman" w:cs="Times New Roman"/>
      <w:kern w:val="2"/>
      <w:sz w:val="18"/>
      <w:szCs w:val="18"/>
    </w:rPr>
  </w:style>
  <w:style w:type="paragraph" w:styleId="a9">
    <w:name w:val="Balloon Text"/>
    <w:basedOn w:val="a"/>
    <w:link w:val="aa"/>
    <w:uiPriority w:val="99"/>
    <w:semiHidden/>
    <w:unhideWhenUsed/>
    <w:rsid w:val="00694E07"/>
    <w:rPr>
      <w:sz w:val="18"/>
      <w:szCs w:val="18"/>
    </w:rPr>
  </w:style>
  <w:style w:type="character" w:customStyle="1" w:styleId="aa">
    <w:name w:val="批注框文本 字符"/>
    <w:basedOn w:val="a0"/>
    <w:link w:val="a9"/>
    <w:uiPriority w:val="99"/>
    <w:semiHidden/>
    <w:rsid w:val="00694E07"/>
    <w:rPr>
      <w:rFonts w:ascii="Times New Roman" w:hAnsi="Times New Roman" w:cs="Times New Roman"/>
      <w:kern w:val="2"/>
      <w:sz w:val="18"/>
      <w:szCs w:val="18"/>
    </w:rPr>
  </w:style>
  <w:style w:type="paragraph" w:styleId="ab">
    <w:name w:val="List Paragraph"/>
    <w:basedOn w:val="a"/>
    <w:uiPriority w:val="34"/>
    <w:qFormat/>
    <w:rsid w:val="00694E07"/>
    <w:pPr>
      <w:ind w:firstLineChars="200" w:firstLine="420"/>
    </w:pPr>
  </w:style>
  <w:style w:type="character" w:customStyle="1" w:styleId="FontStyle20">
    <w:name w:val="Font Style20"/>
    <w:rsid w:val="00371A58"/>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7F7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3</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赵聪</dc:creator>
  <cp:keywords/>
  <dc:description/>
  <cp:lastModifiedBy>韵文萍</cp:lastModifiedBy>
  <cp:revision>88</cp:revision>
  <dcterms:created xsi:type="dcterms:W3CDTF">2020-04-14T00:53:00Z</dcterms:created>
  <dcterms:modified xsi:type="dcterms:W3CDTF">2022-08-09T08:44:00Z</dcterms:modified>
</cp:coreProperties>
</file>