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11A" w:rsidRPr="0076695E" w:rsidRDefault="009D011A" w:rsidP="009D011A">
      <w:pPr>
        <w:jc w:val="center"/>
        <w:rPr>
          <w:rFonts w:ascii="方正小标宋简体" w:eastAsia="方正小标宋简体" w:hAnsi="Calibri" w:cs="Times New Roman"/>
          <w:sz w:val="36"/>
          <w:szCs w:val="36"/>
        </w:rPr>
      </w:pPr>
      <w:bookmarkStart w:id="0" w:name="_Hlk113489226"/>
      <w:bookmarkStart w:id="1" w:name="_GoBack"/>
      <w:bookmarkEnd w:id="1"/>
      <w:r w:rsidRPr="0076695E">
        <w:rPr>
          <w:rFonts w:ascii="方正小标宋简体" w:eastAsia="方正小标宋简体" w:hAnsi="Calibri" w:cs="Times New Roman" w:hint="eastAsia"/>
          <w:sz w:val="36"/>
          <w:szCs w:val="36"/>
        </w:rPr>
        <w:t>《肿瘤治疗性疫苗临床试验技术</w:t>
      </w:r>
    </w:p>
    <w:p w:rsidR="009D011A" w:rsidRPr="0076695E" w:rsidRDefault="009D011A" w:rsidP="009D011A">
      <w:pPr>
        <w:jc w:val="center"/>
        <w:rPr>
          <w:rFonts w:ascii="方正小标宋简体" w:eastAsia="方正小标宋简体" w:hAnsi="Calibri" w:cs="Times New Roman"/>
          <w:sz w:val="36"/>
          <w:szCs w:val="36"/>
        </w:rPr>
      </w:pPr>
      <w:r w:rsidRPr="0076695E">
        <w:rPr>
          <w:rFonts w:ascii="方正小标宋简体" w:eastAsia="方正小标宋简体" w:hAnsi="Calibri" w:cs="Times New Roman" w:hint="eastAsia"/>
          <w:sz w:val="36"/>
          <w:szCs w:val="36"/>
        </w:rPr>
        <w:t>指导原则</w:t>
      </w:r>
      <w:bookmarkEnd w:id="0"/>
      <w:r w:rsidRPr="0076695E">
        <w:rPr>
          <w:rFonts w:ascii="方正小标宋简体" w:eastAsia="方正小标宋简体" w:hAnsi="Calibri" w:cs="Times New Roman" w:hint="eastAsia"/>
          <w:sz w:val="36"/>
          <w:szCs w:val="36"/>
        </w:rPr>
        <w:t>（征求意见稿）》</w:t>
      </w:r>
      <w:r w:rsidRPr="0076695E">
        <w:rPr>
          <w:rFonts w:ascii="方正小标宋简体" w:eastAsia="方正小标宋简体" w:hAnsi="Calibri" w:cs="Times New Roman"/>
          <w:sz w:val="36"/>
          <w:szCs w:val="36"/>
        </w:rPr>
        <w:t>起草说明</w:t>
      </w:r>
    </w:p>
    <w:p w:rsidR="009D011A" w:rsidRPr="0076695E" w:rsidRDefault="009D011A" w:rsidP="009D011A">
      <w:pPr>
        <w:numPr>
          <w:ilvl w:val="0"/>
          <w:numId w:val="1"/>
        </w:numPr>
        <w:rPr>
          <w:rFonts w:ascii="Times New Roman" w:eastAsia="黑体" w:hAnsi="Times New Roman" w:cs="Times New Roman"/>
          <w:color w:val="000000"/>
          <w:sz w:val="32"/>
          <w:szCs w:val="32"/>
        </w:rPr>
      </w:pPr>
      <w:r w:rsidRPr="0076695E">
        <w:rPr>
          <w:rFonts w:ascii="Times New Roman" w:eastAsia="黑体" w:hAnsi="Times New Roman" w:cs="Times New Roman" w:hint="eastAsia"/>
          <w:color w:val="000000"/>
          <w:sz w:val="32"/>
          <w:szCs w:val="32"/>
        </w:rPr>
        <w:t>起草目的</w:t>
      </w:r>
    </w:p>
    <w:p w:rsidR="009D011A" w:rsidRPr="0076695E" w:rsidRDefault="009D011A" w:rsidP="009D011A">
      <w:pPr>
        <w:ind w:firstLineChars="200" w:firstLine="640"/>
        <w:rPr>
          <w:rFonts w:ascii="Times New Roman" w:eastAsia="仿宋_GB2312" w:hAnsi="Times New Roman" w:cs="Times New Roman"/>
          <w:sz w:val="32"/>
          <w:szCs w:val="32"/>
        </w:rPr>
      </w:pPr>
      <w:r w:rsidRPr="00AD450C">
        <w:rPr>
          <w:rFonts w:ascii="Times New Roman" w:eastAsia="仿宋_GB2312" w:hAnsi="Times New Roman" w:cs="Times New Roman" w:hint="eastAsia"/>
          <w:sz w:val="32"/>
          <w:szCs w:val="32"/>
        </w:rPr>
        <w:t>肿瘤治疗性疫苗是指通过诱导或增强机体针对肿瘤抗原的特异性主动免疫反应，从而达到控制和杀伤肿瘤细胞、清除微小残留病灶以及建立持久的抗肿瘤记忆等治疗目的一类产品。</w:t>
      </w:r>
      <w:r w:rsidRPr="0076695E">
        <w:rPr>
          <w:rFonts w:ascii="Times New Roman" w:eastAsia="仿宋_GB2312" w:hAnsi="Times New Roman" w:cs="Times New Roman"/>
          <w:sz w:val="32"/>
          <w:szCs w:val="32"/>
        </w:rPr>
        <w:t>这类产品的作用机制是</w:t>
      </w:r>
      <w:r w:rsidRPr="009E2774">
        <w:rPr>
          <w:rFonts w:ascii="仿宋_GB2312" w:eastAsia="仿宋_GB2312" w:hAnsi="黑体" w:hint="eastAsia"/>
          <w:bCs/>
          <w:sz w:val="32"/>
          <w:szCs w:val="32"/>
        </w:rPr>
        <w:t>通过抗原呈递细胞（APC）</w:t>
      </w:r>
      <w:r>
        <w:rPr>
          <w:rFonts w:ascii="仿宋_GB2312" w:eastAsia="仿宋_GB2312" w:hAnsi="黑体" w:hint="eastAsia"/>
          <w:bCs/>
          <w:sz w:val="32"/>
          <w:szCs w:val="32"/>
        </w:rPr>
        <w:t>将</w:t>
      </w:r>
      <w:r>
        <w:rPr>
          <w:rFonts w:ascii="仿宋_GB2312" w:eastAsia="仿宋_GB2312" w:hAnsi="黑体"/>
          <w:bCs/>
          <w:sz w:val="32"/>
          <w:szCs w:val="32"/>
        </w:rPr>
        <w:t>抗原</w:t>
      </w:r>
      <w:r w:rsidRPr="009E2774">
        <w:rPr>
          <w:rFonts w:ascii="仿宋_GB2312" w:eastAsia="仿宋_GB2312" w:hAnsi="黑体" w:hint="eastAsia"/>
          <w:bCs/>
          <w:sz w:val="32"/>
          <w:szCs w:val="32"/>
        </w:rPr>
        <w:t>加工并呈递给T细胞</w:t>
      </w:r>
      <w:r>
        <w:rPr>
          <w:rFonts w:ascii="仿宋_GB2312" w:eastAsia="仿宋_GB2312" w:hAnsi="黑体" w:hint="eastAsia"/>
          <w:bCs/>
          <w:sz w:val="32"/>
          <w:szCs w:val="32"/>
        </w:rPr>
        <w:t>，</w:t>
      </w:r>
      <w:r w:rsidRPr="005152ED">
        <w:rPr>
          <w:rFonts w:eastAsia="仿宋_GB2312" w:hint="eastAsia"/>
          <w:sz w:val="32"/>
          <w:szCs w:val="32"/>
        </w:rPr>
        <w:t>从而诱导产生或</w:t>
      </w:r>
      <w:r w:rsidRPr="005152ED">
        <w:rPr>
          <w:rFonts w:eastAsia="仿宋_GB2312"/>
          <w:sz w:val="32"/>
          <w:szCs w:val="32"/>
        </w:rPr>
        <w:t>放大已存在的</w:t>
      </w:r>
      <w:r w:rsidRPr="005152ED">
        <w:rPr>
          <w:rFonts w:eastAsia="仿宋_GB2312" w:hint="eastAsia"/>
          <w:sz w:val="32"/>
          <w:szCs w:val="32"/>
        </w:rPr>
        <w:t>抗原特异性</w:t>
      </w:r>
      <w:r w:rsidRPr="005152ED">
        <w:rPr>
          <w:rFonts w:eastAsia="仿宋_GB2312" w:hint="eastAsia"/>
          <w:sz w:val="32"/>
          <w:szCs w:val="32"/>
        </w:rPr>
        <w:t>T</w:t>
      </w:r>
      <w:r w:rsidRPr="005152ED">
        <w:rPr>
          <w:rFonts w:eastAsia="仿宋_GB2312" w:hint="eastAsia"/>
          <w:sz w:val="32"/>
          <w:szCs w:val="32"/>
        </w:rPr>
        <w:t>细胞反应</w:t>
      </w:r>
      <w:r>
        <w:rPr>
          <w:rFonts w:eastAsia="仿宋_GB2312" w:hint="eastAsia"/>
          <w:sz w:val="32"/>
          <w:szCs w:val="32"/>
        </w:rPr>
        <w:t>，</w:t>
      </w:r>
      <w:r>
        <w:rPr>
          <w:rFonts w:ascii="Times New Roman" w:eastAsia="仿宋_GB2312" w:hAnsi="Times New Roman" w:cs="Times New Roman"/>
          <w:sz w:val="32"/>
          <w:szCs w:val="32"/>
        </w:rPr>
        <w:t>这一系列的免疫反应过程需要较长时间</w:t>
      </w:r>
      <w:r>
        <w:rPr>
          <w:rFonts w:ascii="Times New Roman" w:eastAsia="仿宋_GB2312" w:hAnsi="Times New Roman" w:cs="Times New Roman" w:hint="eastAsia"/>
          <w:sz w:val="32"/>
          <w:szCs w:val="32"/>
        </w:rPr>
        <w:t>。</w:t>
      </w:r>
      <w:r w:rsidRPr="0076695E">
        <w:rPr>
          <w:rFonts w:ascii="Times New Roman" w:eastAsia="仿宋_GB2312" w:hAnsi="Times New Roman" w:cs="Times New Roman"/>
          <w:sz w:val="32"/>
          <w:szCs w:val="32"/>
        </w:rPr>
        <w:t>与传统细胞毒药物、靶向治疗或其它肿瘤免疫治疗药物</w:t>
      </w:r>
      <w:r w:rsidRPr="0076695E">
        <w:rPr>
          <w:rFonts w:ascii="Times New Roman" w:eastAsia="仿宋_GB2312" w:hAnsi="Times New Roman" w:cs="Times New Roman" w:hint="eastAsia"/>
          <w:sz w:val="32"/>
          <w:szCs w:val="32"/>
        </w:rPr>
        <w:t>相比</w:t>
      </w:r>
      <w:r w:rsidRPr="0076695E">
        <w:rPr>
          <w:rFonts w:ascii="Times New Roman" w:eastAsia="仿宋_GB2312" w:hAnsi="Times New Roman" w:cs="Times New Roman"/>
          <w:sz w:val="32"/>
          <w:szCs w:val="32"/>
        </w:rPr>
        <w:t>，肿瘤治疗性疫苗的临床试验设计存在诸多不同考虑。</w:t>
      </w:r>
    </w:p>
    <w:p w:rsidR="009D011A" w:rsidRPr="0076695E" w:rsidRDefault="009D011A" w:rsidP="009D011A">
      <w:pPr>
        <w:ind w:firstLineChars="200" w:firstLine="640"/>
        <w:rPr>
          <w:rFonts w:eastAsia="仿宋_GB2312"/>
          <w:sz w:val="32"/>
          <w:szCs w:val="32"/>
        </w:rPr>
      </w:pPr>
      <w:r w:rsidRPr="0076695E">
        <w:rPr>
          <w:rFonts w:eastAsia="仿宋_GB2312" w:hint="eastAsia"/>
          <w:sz w:val="32"/>
          <w:szCs w:val="32"/>
        </w:rPr>
        <w:t>为有助于进一步</w:t>
      </w:r>
      <w:r w:rsidRPr="0076695E">
        <w:rPr>
          <w:rFonts w:eastAsia="仿宋_GB2312"/>
          <w:sz w:val="32"/>
          <w:szCs w:val="32"/>
        </w:rPr>
        <w:t>规范和指导肿瘤治疗</w:t>
      </w:r>
      <w:r w:rsidRPr="0076695E">
        <w:rPr>
          <w:rFonts w:eastAsia="仿宋_GB2312" w:hint="eastAsia"/>
          <w:sz w:val="32"/>
          <w:szCs w:val="32"/>
        </w:rPr>
        <w:t>性</w:t>
      </w:r>
      <w:r w:rsidRPr="0076695E">
        <w:rPr>
          <w:rFonts w:eastAsia="仿宋_GB2312"/>
          <w:sz w:val="32"/>
          <w:szCs w:val="32"/>
        </w:rPr>
        <w:t>疫苗</w:t>
      </w:r>
      <w:r w:rsidRPr="0076695E">
        <w:rPr>
          <w:rFonts w:eastAsia="仿宋_GB2312" w:hint="eastAsia"/>
          <w:sz w:val="32"/>
          <w:szCs w:val="32"/>
        </w:rPr>
        <w:t>药物</w:t>
      </w:r>
      <w:r w:rsidRPr="0076695E">
        <w:rPr>
          <w:rFonts w:eastAsia="仿宋_GB2312"/>
          <w:sz w:val="32"/>
          <w:szCs w:val="32"/>
        </w:rPr>
        <w:t>的临床开发，</w:t>
      </w:r>
      <w:r w:rsidRPr="0076695E">
        <w:rPr>
          <w:rFonts w:eastAsia="仿宋_GB2312" w:hint="eastAsia"/>
          <w:sz w:val="32"/>
          <w:szCs w:val="32"/>
        </w:rPr>
        <w:t>并</w:t>
      </w:r>
      <w:r w:rsidRPr="0076695E">
        <w:rPr>
          <w:rFonts w:eastAsia="仿宋_GB2312"/>
          <w:sz w:val="32"/>
          <w:szCs w:val="32"/>
        </w:rPr>
        <w:t>提供可参考的技术规范</w:t>
      </w:r>
      <w:r w:rsidRPr="0076695E">
        <w:rPr>
          <w:rFonts w:eastAsia="仿宋_GB2312" w:hint="eastAsia"/>
          <w:sz w:val="32"/>
          <w:szCs w:val="32"/>
        </w:rPr>
        <w:t>，药品审评中心组织起草了《肿瘤治疗性疫苗临床试验技术指导原则》。同时，本</w:t>
      </w:r>
      <w:r w:rsidRPr="0076695E">
        <w:rPr>
          <w:rFonts w:eastAsia="仿宋_GB2312"/>
          <w:sz w:val="32"/>
          <w:szCs w:val="32"/>
        </w:rPr>
        <w:t>指导原则</w:t>
      </w:r>
      <w:r w:rsidRPr="0076695E">
        <w:rPr>
          <w:rFonts w:eastAsia="仿宋_GB2312" w:hint="eastAsia"/>
          <w:sz w:val="32"/>
          <w:szCs w:val="32"/>
        </w:rPr>
        <w:t>属于“细胞和基因治疗产品技术评价与监管体系研究”的子课题之一。</w:t>
      </w:r>
    </w:p>
    <w:p w:rsidR="009D011A" w:rsidRPr="0076695E" w:rsidRDefault="009D011A" w:rsidP="009D011A">
      <w:pPr>
        <w:numPr>
          <w:ilvl w:val="0"/>
          <w:numId w:val="2"/>
        </w:numPr>
        <w:ind w:firstLineChars="200" w:firstLine="640"/>
        <w:rPr>
          <w:rFonts w:ascii="Times New Roman" w:eastAsia="黑体" w:hAnsi="Times New Roman" w:cs="Times New Roman"/>
          <w:color w:val="000000"/>
          <w:sz w:val="32"/>
          <w:szCs w:val="32"/>
        </w:rPr>
      </w:pPr>
      <w:r w:rsidRPr="0076695E">
        <w:rPr>
          <w:rFonts w:ascii="Times New Roman" w:eastAsia="黑体" w:hAnsi="Times New Roman" w:cs="Times New Roman" w:hint="eastAsia"/>
          <w:color w:val="000000"/>
          <w:sz w:val="32"/>
          <w:szCs w:val="32"/>
        </w:rPr>
        <w:t>起草过程和思路</w:t>
      </w:r>
    </w:p>
    <w:p w:rsidR="009D011A" w:rsidRPr="0076695E" w:rsidRDefault="009D011A" w:rsidP="009D011A">
      <w:pPr>
        <w:autoSpaceDE w:val="0"/>
        <w:autoSpaceDN w:val="0"/>
        <w:adjustRightInd w:val="0"/>
        <w:spacing w:line="360" w:lineRule="auto"/>
        <w:ind w:firstLineChars="200" w:firstLine="640"/>
        <w:rPr>
          <w:rFonts w:ascii="仿宋_GB2312" w:eastAsia="仿宋_GB2312" w:hAnsi="仿宋" w:cs="Times New Roman"/>
          <w:color w:val="000000"/>
          <w:sz w:val="32"/>
          <w:szCs w:val="32"/>
        </w:rPr>
      </w:pPr>
      <w:r w:rsidRPr="0076695E">
        <w:rPr>
          <w:rFonts w:ascii="仿宋_GB2312" w:eastAsia="仿宋_GB2312" w:hAnsi="仿宋" w:cs="Times New Roman" w:hint="eastAsia"/>
          <w:color w:val="000000"/>
          <w:sz w:val="32"/>
          <w:szCs w:val="32"/>
        </w:rPr>
        <w:t>本指导原则由生物制品临床部牵头，并纳入《药审中心</w:t>
      </w:r>
      <w:r w:rsidRPr="0076695E">
        <w:rPr>
          <w:rFonts w:ascii="仿宋_GB2312" w:eastAsia="仿宋_GB2312" w:hAnsi="仿宋" w:cs="Times New Roman"/>
          <w:color w:val="000000"/>
          <w:sz w:val="32"/>
          <w:szCs w:val="32"/>
        </w:rPr>
        <w:t>2022年指导原则制修订计划》</w:t>
      </w:r>
      <w:r w:rsidRPr="0076695E">
        <w:rPr>
          <w:rFonts w:ascii="仿宋_GB2312" w:eastAsia="仿宋_GB2312" w:hAnsi="仿宋" w:cs="Times New Roman" w:hint="eastAsia"/>
          <w:color w:val="000000"/>
          <w:sz w:val="32"/>
          <w:szCs w:val="32"/>
        </w:rPr>
        <w:t>。2022年</w:t>
      </w:r>
      <w:r>
        <w:rPr>
          <w:rFonts w:ascii="仿宋_GB2312" w:eastAsia="仿宋_GB2312" w:hAnsi="仿宋" w:cs="Times New Roman"/>
          <w:color w:val="000000"/>
          <w:sz w:val="32"/>
          <w:szCs w:val="32"/>
        </w:rPr>
        <w:t>1</w:t>
      </w:r>
      <w:r w:rsidRPr="0076695E">
        <w:rPr>
          <w:rFonts w:ascii="仿宋_GB2312" w:eastAsia="仿宋_GB2312" w:hAnsi="仿宋" w:cs="Times New Roman" w:hint="eastAsia"/>
          <w:color w:val="000000"/>
          <w:sz w:val="32"/>
          <w:szCs w:val="32"/>
        </w:rPr>
        <w:t>-6月，</w:t>
      </w:r>
      <w:r w:rsidRPr="0076695E">
        <w:rPr>
          <w:rFonts w:ascii="仿宋_GB2312" w:eastAsia="仿宋_GB2312" w:hAnsi="仿宋" w:cs="Times New Roman"/>
          <w:color w:val="000000"/>
          <w:sz w:val="32"/>
          <w:szCs w:val="32"/>
        </w:rPr>
        <w:t>起草小组</w:t>
      </w:r>
      <w:r>
        <w:rPr>
          <w:rFonts w:ascii="仿宋_GB2312" w:eastAsia="仿宋_GB2312" w:hAnsi="仿宋" w:cs="Times New Roman" w:hint="eastAsia"/>
          <w:color w:val="000000"/>
          <w:sz w:val="32"/>
          <w:szCs w:val="32"/>
        </w:rPr>
        <w:t>梳理</w:t>
      </w:r>
      <w:r>
        <w:rPr>
          <w:rFonts w:ascii="仿宋_GB2312" w:eastAsia="仿宋_GB2312" w:hAnsi="仿宋" w:cs="Times New Roman"/>
          <w:color w:val="000000"/>
          <w:sz w:val="32"/>
          <w:szCs w:val="32"/>
        </w:rPr>
        <w:t>并总结了</w:t>
      </w:r>
      <w:r>
        <w:rPr>
          <w:rFonts w:ascii="仿宋_GB2312" w:eastAsia="仿宋_GB2312" w:hAnsi="仿宋" w:cs="Times New Roman" w:hint="eastAsia"/>
          <w:color w:val="000000"/>
          <w:sz w:val="32"/>
          <w:szCs w:val="32"/>
        </w:rPr>
        <w:t>国内</w:t>
      </w:r>
      <w:r w:rsidRPr="0076695E">
        <w:rPr>
          <w:rFonts w:ascii="仿宋_GB2312" w:eastAsia="仿宋_GB2312" w:hAnsi="仿宋" w:cs="Times New Roman" w:hint="eastAsia"/>
          <w:color w:val="000000"/>
          <w:sz w:val="32"/>
          <w:szCs w:val="32"/>
        </w:rPr>
        <w:t>肿瘤治疗性</w:t>
      </w:r>
      <w:r w:rsidRPr="0076695E">
        <w:rPr>
          <w:rFonts w:ascii="仿宋_GB2312" w:eastAsia="仿宋_GB2312" w:hAnsi="仿宋" w:cs="Times New Roman"/>
          <w:color w:val="000000"/>
          <w:sz w:val="32"/>
          <w:szCs w:val="32"/>
        </w:rPr>
        <w:t>疫苗</w:t>
      </w:r>
      <w:r>
        <w:rPr>
          <w:rFonts w:ascii="仿宋_GB2312" w:eastAsia="仿宋_GB2312" w:hAnsi="仿宋" w:cs="Times New Roman" w:hint="eastAsia"/>
          <w:color w:val="000000"/>
          <w:sz w:val="32"/>
          <w:szCs w:val="32"/>
        </w:rPr>
        <w:t>申报和</w:t>
      </w:r>
      <w:r>
        <w:rPr>
          <w:rFonts w:ascii="仿宋_GB2312" w:eastAsia="仿宋_GB2312" w:hAnsi="仿宋" w:cs="Times New Roman"/>
          <w:color w:val="000000"/>
          <w:sz w:val="32"/>
          <w:szCs w:val="32"/>
        </w:rPr>
        <w:t>临床试验中的常见问题，对</w:t>
      </w:r>
      <w:r>
        <w:rPr>
          <w:rFonts w:ascii="仿宋_GB2312" w:eastAsia="仿宋_GB2312" w:hAnsi="仿宋" w:cs="Times New Roman" w:hint="eastAsia"/>
          <w:color w:val="000000"/>
          <w:sz w:val="32"/>
          <w:szCs w:val="32"/>
        </w:rPr>
        <w:t>国内外肿瘤</w:t>
      </w:r>
      <w:r>
        <w:rPr>
          <w:rFonts w:ascii="仿宋_GB2312" w:eastAsia="仿宋_GB2312" w:hAnsi="仿宋" w:cs="Times New Roman"/>
          <w:color w:val="000000"/>
          <w:sz w:val="32"/>
          <w:szCs w:val="32"/>
        </w:rPr>
        <w:t>治疗性疫苗的</w:t>
      </w:r>
      <w:r>
        <w:rPr>
          <w:rFonts w:ascii="仿宋_GB2312" w:eastAsia="仿宋_GB2312" w:hAnsi="仿宋" w:cs="Times New Roman" w:hint="eastAsia"/>
          <w:color w:val="000000"/>
          <w:sz w:val="32"/>
          <w:szCs w:val="32"/>
        </w:rPr>
        <w:t>临床</w:t>
      </w:r>
      <w:r>
        <w:rPr>
          <w:rFonts w:ascii="仿宋_GB2312" w:eastAsia="仿宋_GB2312" w:hAnsi="仿宋" w:cs="Times New Roman"/>
          <w:color w:val="000000"/>
          <w:sz w:val="32"/>
          <w:szCs w:val="32"/>
        </w:rPr>
        <w:t>研究进展和相关技术要求进行</w:t>
      </w:r>
      <w:r>
        <w:rPr>
          <w:rFonts w:ascii="仿宋_GB2312" w:eastAsia="仿宋_GB2312" w:hAnsi="仿宋" w:cs="Times New Roman" w:hint="eastAsia"/>
          <w:color w:val="000000"/>
          <w:sz w:val="32"/>
          <w:szCs w:val="32"/>
        </w:rPr>
        <w:t>了</w:t>
      </w:r>
      <w:r>
        <w:rPr>
          <w:rFonts w:ascii="仿宋_GB2312" w:eastAsia="仿宋_GB2312" w:hAnsi="仿宋" w:cs="Times New Roman"/>
          <w:color w:val="000000"/>
          <w:sz w:val="32"/>
          <w:szCs w:val="32"/>
        </w:rPr>
        <w:t>调研</w:t>
      </w:r>
      <w:r>
        <w:rPr>
          <w:rFonts w:ascii="仿宋_GB2312" w:eastAsia="仿宋_GB2312" w:hAnsi="仿宋" w:cs="Times New Roman" w:hint="eastAsia"/>
          <w:color w:val="000000"/>
          <w:sz w:val="32"/>
          <w:szCs w:val="32"/>
        </w:rPr>
        <w:t>。在前期工作</w:t>
      </w:r>
      <w:r>
        <w:rPr>
          <w:rFonts w:ascii="仿宋_GB2312" w:eastAsia="仿宋_GB2312" w:hAnsi="仿宋" w:cs="Times New Roman"/>
          <w:color w:val="000000"/>
          <w:sz w:val="32"/>
          <w:szCs w:val="32"/>
        </w:rPr>
        <w:t>基础上</w:t>
      </w:r>
      <w:r>
        <w:rPr>
          <w:rFonts w:ascii="仿宋_GB2312" w:eastAsia="仿宋_GB2312" w:hAnsi="仿宋" w:cs="Times New Roman" w:hint="eastAsia"/>
          <w:color w:val="000000"/>
          <w:sz w:val="32"/>
          <w:szCs w:val="32"/>
        </w:rPr>
        <w:t>，</w:t>
      </w:r>
      <w:r w:rsidRPr="0076695E">
        <w:rPr>
          <w:rFonts w:ascii="仿宋_GB2312" w:eastAsia="仿宋_GB2312" w:hAnsi="仿宋" w:cs="Times New Roman" w:hint="eastAsia"/>
          <w:color w:val="000000"/>
          <w:sz w:val="32"/>
          <w:szCs w:val="32"/>
        </w:rPr>
        <w:t>于2021年8月形成</w:t>
      </w:r>
      <w:r>
        <w:rPr>
          <w:rFonts w:ascii="仿宋_GB2312" w:eastAsia="仿宋_GB2312" w:hAnsi="仿宋" w:cs="Times New Roman"/>
          <w:color w:val="000000"/>
          <w:sz w:val="32"/>
          <w:szCs w:val="32"/>
        </w:rPr>
        <w:t>本指导</w:t>
      </w:r>
      <w:r>
        <w:rPr>
          <w:rFonts w:ascii="仿宋_GB2312" w:eastAsia="仿宋_GB2312" w:hAnsi="仿宋" w:cs="Times New Roman"/>
          <w:color w:val="000000"/>
          <w:sz w:val="32"/>
          <w:szCs w:val="32"/>
        </w:rPr>
        <w:lastRenderedPageBreak/>
        <w:t>原则初稿</w:t>
      </w:r>
      <w:r>
        <w:rPr>
          <w:rFonts w:ascii="仿宋_GB2312" w:eastAsia="仿宋_GB2312" w:hAnsi="仿宋" w:cs="Times New Roman" w:hint="eastAsia"/>
          <w:color w:val="000000"/>
          <w:sz w:val="32"/>
          <w:szCs w:val="32"/>
        </w:rPr>
        <w:t>，</w:t>
      </w:r>
      <w:r w:rsidRPr="0076695E">
        <w:rPr>
          <w:rFonts w:ascii="仿宋_GB2312" w:eastAsia="仿宋_GB2312" w:hAnsi="仿宋" w:cs="Times New Roman"/>
          <w:color w:val="000000"/>
          <w:sz w:val="32"/>
          <w:szCs w:val="32"/>
        </w:rPr>
        <w:t>经</w:t>
      </w:r>
      <w:r w:rsidRPr="0076695E">
        <w:rPr>
          <w:rFonts w:ascii="仿宋_GB2312" w:eastAsia="仿宋_GB2312" w:hAnsi="仿宋" w:cs="Times New Roman" w:hint="eastAsia"/>
          <w:color w:val="000000"/>
          <w:sz w:val="32"/>
          <w:szCs w:val="32"/>
        </w:rPr>
        <w:t>药审</w:t>
      </w:r>
      <w:r w:rsidRPr="0076695E">
        <w:rPr>
          <w:rFonts w:ascii="仿宋_GB2312" w:eastAsia="仿宋_GB2312" w:hAnsi="仿宋" w:cs="Times New Roman"/>
          <w:color w:val="000000"/>
          <w:sz w:val="32"/>
          <w:szCs w:val="32"/>
        </w:rPr>
        <w:t>中心内部征求意见</w:t>
      </w:r>
      <w:r>
        <w:rPr>
          <w:rFonts w:ascii="仿宋_GB2312" w:eastAsia="仿宋_GB2312" w:hAnsi="仿宋" w:cs="Times New Roman"/>
          <w:color w:val="000000"/>
          <w:sz w:val="32"/>
          <w:szCs w:val="32"/>
        </w:rPr>
        <w:t>,</w:t>
      </w:r>
      <w:r w:rsidRPr="0076695E">
        <w:rPr>
          <w:rFonts w:ascii="仿宋_GB2312" w:eastAsia="仿宋_GB2312" w:hAnsi="仿宋" w:cs="Times New Roman" w:hint="eastAsia"/>
          <w:color w:val="000000"/>
          <w:sz w:val="32"/>
          <w:szCs w:val="32"/>
        </w:rPr>
        <w:t>部门技术委员会审核讨论,对指导</w:t>
      </w:r>
      <w:r w:rsidRPr="0076695E">
        <w:rPr>
          <w:rFonts w:ascii="仿宋_GB2312" w:eastAsia="仿宋_GB2312" w:hAnsi="仿宋" w:cs="Times New Roman"/>
          <w:color w:val="000000"/>
          <w:sz w:val="32"/>
          <w:szCs w:val="32"/>
        </w:rPr>
        <w:t>原则征求意见稿的</w:t>
      </w:r>
      <w:r w:rsidRPr="0076695E">
        <w:rPr>
          <w:rFonts w:ascii="仿宋_GB2312" w:eastAsia="仿宋_GB2312" w:hAnsi="仿宋" w:cs="Times New Roman" w:hint="eastAsia"/>
          <w:color w:val="000000"/>
          <w:sz w:val="32"/>
          <w:szCs w:val="32"/>
        </w:rPr>
        <w:t>内容进行</w:t>
      </w:r>
      <w:r>
        <w:rPr>
          <w:rFonts w:ascii="仿宋_GB2312" w:eastAsia="仿宋_GB2312" w:hAnsi="仿宋" w:cs="Times New Roman" w:hint="eastAsia"/>
          <w:color w:val="000000"/>
          <w:sz w:val="32"/>
          <w:szCs w:val="32"/>
        </w:rPr>
        <w:t>了</w:t>
      </w:r>
      <w:r>
        <w:rPr>
          <w:rFonts w:ascii="仿宋_GB2312" w:eastAsia="仿宋_GB2312" w:hAnsi="仿宋" w:cs="Times New Roman"/>
          <w:color w:val="000000"/>
          <w:sz w:val="32"/>
          <w:szCs w:val="32"/>
        </w:rPr>
        <w:t>讨论</w:t>
      </w:r>
      <w:r>
        <w:rPr>
          <w:rFonts w:ascii="仿宋_GB2312" w:eastAsia="仿宋_GB2312" w:hAnsi="仿宋" w:cs="Times New Roman" w:hint="eastAsia"/>
          <w:color w:val="000000"/>
          <w:sz w:val="32"/>
          <w:szCs w:val="32"/>
        </w:rPr>
        <w:t>，经</w:t>
      </w:r>
      <w:r>
        <w:rPr>
          <w:rFonts w:ascii="仿宋_GB2312" w:eastAsia="仿宋_GB2312" w:hAnsi="仿宋" w:cs="Times New Roman"/>
          <w:color w:val="000000"/>
          <w:sz w:val="32"/>
          <w:szCs w:val="32"/>
        </w:rPr>
        <w:t>修订后</w:t>
      </w:r>
      <w:r>
        <w:rPr>
          <w:rFonts w:ascii="仿宋_GB2312" w:eastAsia="仿宋_GB2312" w:hAnsi="仿宋" w:cs="Times New Roman" w:hint="eastAsia"/>
          <w:color w:val="000000"/>
          <w:sz w:val="32"/>
          <w:szCs w:val="32"/>
        </w:rPr>
        <w:t>形成</w:t>
      </w:r>
      <w:r w:rsidRPr="0076695E">
        <w:rPr>
          <w:rFonts w:ascii="仿宋_GB2312" w:eastAsia="仿宋_GB2312" w:hAnsi="仿宋" w:cs="Times New Roman"/>
          <w:color w:val="000000"/>
          <w:sz w:val="32"/>
          <w:szCs w:val="32"/>
        </w:rPr>
        <w:t>公开</w:t>
      </w:r>
      <w:r w:rsidRPr="0076695E">
        <w:rPr>
          <w:rFonts w:ascii="仿宋_GB2312" w:eastAsia="仿宋_GB2312" w:hAnsi="仿宋" w:cs="Times New Roman" w:hint="eastAsia"/>
          <w:color w:val="000000"/>
          <w:sz w:val="32"/>
          <w:szCs w:val="32"/>
        </w:rPr>
        <w:t>征求意见稿。</w:t>
      </w:r>
    </w:p>
    <w:p w:rsidR="009D011A" w:rsidRPr="0076695E" w:rsidRDefault="009D011A" w:rsidP="009D011A">
      <w:pPr>
        <w:ind w:firstLineChars="196" w:firstLine="627"/>
        <w:rPr>
          <w:rFonts w:ascii="Times New Roman" w:eastAsia="黑体" w:hAnsi="Times New Roman" w:cs="Times New Roman"/>
          <w:color w:val="000000"/>
          <w:sz w:val="32"/>
          <w:szCs w:val="32"/>
        </w:rPr>
      </w:pPr>
      <w:r w:rsidRPr="0076695E">
        <w:rPr>
          <w:rFonts w:ascii="Times New Roman" w:eastAsia="黑体" w:hAnsi="Times New Roman" w:cs="Times New Roman" w:hint="eastAsia"/>
          <w:color w:val="000000"/>
          <w:sz w:val="32"/>
          <w:szCs w:val="32"/>
        </w:rPr>
        <w:t>三、主要内容与</w:t>
      </w:r>
      <w:r w:rsidRPr="0076695E">
        <w:rPr>
          <w:rFonts w:ascii="Times New Roman" w:eastAsia="黑体" w:hAnsi="Times New Roman" w:cs="Times New Roman"/>
          <w:color w:val="000000"/>
          <w:sz w:val="32"/>
          <w:szCs w:val="32"/>
        </w:rPr>
        <w:t>说明</w:t>
      </w:r>
    </w:p>
    <w:p w:rsidR="009D011A" w:rsidRPr="0076695E" w:rsidRDefault="009D011A" w:rsidP="009D011A">
      <w:pPr>
        <w:autoSpaceDE w:val="0"/>
        <w:autoSpaceDN w:val="0"/>
        <w:adjustRightInd w:val="0"/>
        <w:spacing w:line="360" w:lineRule="auto"/>
        <w:ind w:firstLineChars="200" w:firstLine="640"/>
        <w:rPr>
          <w:rFonts w:ascii="仿宋_GB2312" w:eastAsia="仿宋_GB2312" w:hAnsi="仿宋" w:cs="Times New Roman"/>
          <w:color w:val="000000"/>
          <w:sz w:val="32"/>
          <w:szCs w:val="32"/>
        </w:rPr>
      </w:pPr>
      <w:r w:rsidRPr="0076695E">
        <w:rPr>
          <w:rFonts w:ascii="仿宋_GB2312" w:eastAsia="仿宋_GB2312" w:hAnsi="仿宋" w:cs="Times New Roman" w:hint="eastAsia"/>
          <w:color w:val="000000"/>
          <w:sz w:val="32"/>
          <w:szCs w:val="32"/>
        </w:rPr>
        <w:t>本</w:t>
      </w:r>
      <w:r w:rsidRPr="0076695E">
        <w:rPr>
          <w:rFonts w:ascii="仿宋_GB2312" w:eastAsia="仿宋_GB2312" w:hAnsi="仿宋" w:cs="Times New Roman"/>
          <w:color w:val="000000"/>
          <w:sz w:val="32"/>
          <w:szCs w:val="32"/>
        </w:rPr>
        <w:t>指导原则</w:t>
      </w:r>
      <w:r w:rsidRPr="0076695E">
        <w:rPr>
          <w:rFonts w:ascii="仿宋_GB2312" w:eastAsia="仿宋_GB2312" w:hAnsi="仿宋" w:cs="Times New Roman" w:hint="eastAsia"/>
          <w:color w:val="000000"/>
          <w:sz w:val="32"/>
          <w:szCs w:val="32"/>
        </w:rPr>
        <w:t>主要分为二个章节和参考文献。</w:t>
      </w:r>
    </w:p>
    <w:p w:rsidR="009D011A" w:rsidRPr="0076695E" w:rsidRDefault="009D011A" w:rsidP="009D011A">
      <w:pPr>
        <w:autoSpaceDE w:val="0"/>
        <w:autoSpaceDN w:val="0"/>
        <w:adjustRightInd w:val="0"/>
        <w:spacing w:line="360" w:lineRule="auto"/>
        <w:ind w:firstLineChars="200" w:firstLine="640"/>
        <w:rPr>
          <w:rFonts w:ascii="仿宋_GB2312" w:eastAsia="仿宋_GB2312" w:hAnsi="仿宋" w:cs="Times New Roman"/>
          <w:color w:val="000000"/>
          <w:sz w:val="32"/>
          <w:szCs w:val="32"/>
        </w:rPr>
      </w:pPr>
      <w:r w:rsidRPr="0076695E">
        <w:rPr>
          <w:rFonts w:ascii="仿宋_GB2312" w:eastAsia="仿宋_GB2312" w:hAnsi="仿宋" w:cs="Times New Roman" w:hint="eastAsia"/>
          <w:color w:val="000000"/>
          <w:sz w:val="32"/>
          <w:szCs w:val="32"/>
        </w:rPr>
        <w:t>第一个章节概述，主要介绍了本技术指导原则起草的背景、</w:t>
      </w:r>
      <w:r w:rsidRPr="0076695E">
        <w:rPr>
          <w:rFonts w:ascii="仿宋_GB2312" w:eastAsia="仿宋_GB2312" w:hAnsi="仿宋" w:cs="Times New Roman"/>
          <w:color w:val="000000"/>
          <w:sz w:val="32"/>
          <w:szCs w:val="32"/>
        </w:rPr>
        <w:t>目的</w:t>
      </w:r>
      <w:r w:rsidRPr="0076695E">
        <w:rPr>
          <w:rFonts w:ascii="仿宋_GB2312" w:eastAsia="仿宋_GB2312" w:hAnsi="仿宋" w:cs="Times New Roman" w:hint="eastAsia"/>
          <w:color w:val="000000"/>
          <w:sz w:val="32"/>
          <w:szCs w:val="32"/>
        </w:rPr>
        <w:t>以及适用范围，同时明确了本指导原则为建议性而非强制性，并且其中的观点是阶段性的。</w:t>
      </w:r>
    </w:p>
    <w:p w:rsidR="009D011A" w:rsidRPr="0076695E" w:rsidRDefault="009D011A" w:rsidP="009D011A">
      <w:pPr>
        <w:autoSpaceDE w:val="0"/>
        <w:autoSpaceDN w:val="0"/>
        <w:adjustRightInd w:val="0"/>
        <w:spacing w:line="360" w:lineRule="auto"/>
        <w:ind w:firstLineChars="200" w:firstLine="640"/>
        <w:rPr>
          <w:rFonts w:ascii="仿宋_GB2312" w:eastAsia="仿宋_GB2312" w:hAnsi="仿宋" w:cs="Times New Roman"/>
          <w:color w:val="000000"/>
          <w:sz w:val="32"/>
          <w:szCs w:val="32"/>
        </w:rPr>
      </w:pPr>
      <w:r w:rsidRPr="0076695E">
        <w:rPr>
          <w:rFonts w:ascii="仿宋_GB2312" w:eastAsia="仿宋_GB2312" w:hAnsi="仿宋" w:cs="Times New Roman" w:hint="eastAsia"/>
          <w:color w:val="000000"/>
          <w:sz w:val="32"/>
          <w:szCs w:val="32"/>
        </w:rPr>
        <w:t>第二个章节是临床试验设计的</w:t>
      </w:r>
      <w:r w:rsidRPr="0076695E">
        <w:rPr>
          <w:rFonts w:ascii="仿宋_GB2312" w:eastAsia="仿宋_GB2312" w:hAnsi="仿宋" w:cs="Times New Roman"/>
          <w:color w:val="000000"/>
          <w:sz w:val="32"/>
          <w:szCs w:val="32"/>
        </w:rPr>
        <w:t>整体研发策略，</w:t>
      </w:r>
      <w:r w:rsidRPr="0076695E">
        <w:rPr>
          <w:rFonts w:ascii="仿宋_GB2312" w:eastAsia="仿宋_GB2312" w:hAnsi="仿宋" w:cs="Times New Roman" w:hint="eastAsia"/>
          <w:color w:val="000000"/>
          <w:sz w:val="32"/>
          <w:szCs w:val="32"/>
        </w:rPr>
        <w:t>分为</w:t>
      </w:r>
      <w:r w:rsidRPr="0076695E">
        <w:rPr>
          <w:rFonts w:ascii="仿宋_GB2312" w:eastAsia="仿宋_GB2312" w:hAnsi="仿宋" w:cs="Times New Roman"/>
          <w:color w:val="000000"/>
          <w:sz w:val="32"/>
          <w:szCs w:val="32"/>
        </w:rPr>
        <w:t>一般考虑、早期探索性临床试验</w:t>
      </w:r>
      <w:r w:rsidRPr="0076695E">
        <w:rPr>
          <w:rFonts w:ascii="仿宋_GB2312" w:eastAsia="仿宋_GB2312" w:hAnsi="仿宋" w:cs="Times New Roman" w:hint="eastAsia"/>
          <w:color w:val="000000"/>
          <w:sz w:val="32"/>
          <w:szCs w:val="32"/>
        </w:rPr>
        <w:t>和</w:t>
      </w:r>
      <w:r w:rsidRPr="0076695E">
        <w:rPr>
          <w:rFonts w:ascii="仿宋_GB2312" w:eastAsia="仿宋_GB2312" w:hAnsi="仿宋" w:cs="Times New Roman"/>
          <w:color w:val="000000"/>
          <w:sz w:val="32"/>
          <w:szCs w:val="32"/>
        </w:rPr>
        <w:t>确证性临床试验</w:t>
      </w:r>
      <w:r w:rsidRPr="0076695E">
        <w:rPr>
          <w:rFonts w:ascii="仿宋_GB2312" w:eastAsia="仿宋_GB2312" w:hAnsi="仿宋" w:cs="Times New Roman" w:hint="eastAsia"/>
          <w:color w:val="000000"/>
          <w:sz w:val="32"/>
          <w:szCs w:val="32"/>
        </w:rPr>
        <w:t>。首先</w:t>
      </w:r>
      <w:r w:rsidRPr="0076695E">
        <w:rPr>
          <w:rFonts w:ascii="仿宋_GB2312" w:eastAsia="仿宋_GB2312" w:hAnsi="仿宋" w:cs="Times New Roman"/>
          <w:color w:val="000000"/>
          <w:sz w:val="32"/>
          <w:szCs w:val="32"/>
        </w:rPr>
        <w:t>，</w:t>
      </w:r>
      <w:r w:rsidRPr="0076695E">
        <w:rPr>
          <w:rFonts w:ascii="仿宋_GB2312" w:eastAsia="仿宋_GB2312" w:hAnsi="仿宋" w:cs="Times New Roman" w:hint="eastAsia"/>
          <w:color w:val="000000"/>
          <w:sz w:val="32"/>
          <w:szCs w:val="32"/>
        </w:rPr>
        <w:t>本原则针对</w:t>
      </w:r>
      <w:r w:rsidRPr="0076695E">
        <w:rPr>
          <w:rFonts w:ascii="仿宋_GB2312" w:eastAsia="仿宋_GB2312" w:hAnsi="仿宋" w:cs="Times New Roman"/>
          <w:color w:val="000000"/>
          <w:sz w:val="32"/>
          <w:szCs w:val="32"/>
        </w:rPr>
        <w:t>临床试验的研发策略</w:t>
      </w:r>
      <w:r w:rsidRPr="0076695E">
        <w:rPr>
          <w:rFonts w:ascii="仿宋_GB2312" w:eastAsia="仿宋_GB2312" w:hAnsi="仿宋" w:cs="Times New Roman" w:hint="eastAsia"/>
          <w:color w:val="000000"/>
          <w:sz w:val="32"/>
          <w:szCs w:val="32"/>
        </w:rPr>
        <w:t>中一般</w:t>
      </w:r>
      <w:r w:rsidRPr="0076695E">
        <w:rPr>
          <w:rFonts w:ascii="仿宋_GB2312" w:eastAsia="仿宋_GB2312" w:hAnsi="仿宋" w:cs="Times New Roman"/>
          <w:color w:val="000000"/>
          <w:sz w:val="32"/>
          <w:szCs w:val="32"/>
        </w:rPr>
        <w:t>考虑进行了说明和建议，包含</w:t>
      </w:r>
      <w:r w:rsidRPr="0076695E">
        <w:rPr>
          <w:rFonts w:ascii="仿宋_GB2312" w:eastAsia="仿宋_GB2312" w:hAnsi="仿宋" w:cs="Times New Roman" w:hint="eastAsia"/>
          <w:color w:val="000000"/>
          <w:sz w:val="32"/>
          <w:szCs w:val="32"/>
        </w:rPr>
        <w:t>受试者</w:t>
      </w:r>
      <w:r w:rsidRPr="0076695E">
        <w:rPr>
          <w:rFonts w:ascii="仿宋_GB2312" w:eastAsia="仿宋_GB2312" w:hAnsi="仿宋" w:cs="Times New Roman"/>
          <w:color w:val="000000"/>
          <w:sz w:val="32"/>
          <w:szCs w:val="32"/>
        </w:rPr>
        <w:t>人群、免疫原性、佐剂或免疫增强</w:t>
      </w:r>
      <w:r w:rsidRPr="0076695E">
        <w:rPr>
          <w:rFonts w:ascii="仿宋_GB2312" w:eastAsia="仿宋_GB2312" w:hAnsi="仿宋" w:cs="Times New Roman" w:hint="eastAsia"/>
          <w:color w:val="000000"/>
          <w:sz w:val="32"/>
          <w:szCs w:val="32"/>
        </w:rPr>
        <w:t>药物</w:t>
      </w:r>
      <w:r w:rsidRPr="0076695E">
        <w:rPr>
          <w:rFonts w:ascii="仿宋_GB2312" w:eastAsia="仿宋_GB2312" w:hAnsi="仿宋" w:cs="Times New Roman"/>
          <w:color w:val="000000"/>
          <w:sz w:val="32"/>
          <w:szCs w:val="32"/>
        </w:rPr>
        <w:t>、</w:t>
      </w:r>
      <w:r w:rsidRPr="0076695E">
        <w:rPr>
          <w:rFonts w:ascii="仿宋_GB2312" w:eastAsia="仿宋_GB2312" w:hAnsi="仿宋" w:cs="Times New Roman" w:hint="eastAsia"/>
          <w:color w:val="000000"/>
          <w:sz w:val="32"/>
          <w:szCs w:val="32"/>
        </w:rPr>
        <w:t>疾病快速进展或复发、伴随治疗和后续治疗和个体</w:t>
      </w:r>
      <w:r w:rsidRPr="0076695E">
        <w:rPr>
          <w:rFonts w:ascii="仿宋_GB2312" w:eastAsia="仿宋_GB2312" w:hAnsi="仿宋" w:cs="Times New Roman"/>
          <w:color w:val="000000"/>
          <w:sz w:val="32"/>
          <w:szCs w:val="32"/>
        </w:rPr>
        <w:t>化肿瘤治疗性疫苗的特殊考虑</w:t>
      </w:r>
      <w:r w:rsidRPr="0076695E">
        <w:rPr>
          <w:rFonts w:ascii="仿宋_GB2312" w:eastAsia="仿宋_GB2312" w:hAnsi="仿宋" w:cs="Times New Roman" w:hint="eastAsia"/>
          <w:color w:val="000000"/>
          <w:sz w:val="32"/>
          <w:szCs w:val="32"/>
        </w:rPr>
        <w:t>等</w:t>
      </w:r>
      <w:r w:rsidRPr="0076695E">
        <w:rPr>
          <w:rFonts w:ascii="仿宋_GB2312" w:eastAsia="仿宋_GB2312" w:hAnsi="仿宋" w:cs="Times New Roman"/>
          <w:color w:val="000000"/>
          <w:sz w:val="32"/>
          <w:szCs w:val="32"/>
        </w:rPr>
        <w:t>方面。</w:t>
      </w:r>
      <w:r w:rsidRPr="0076695E">
        <w:rPr>
          <w:rFonts w:ascii="仿宋_GB2312" w:eastAsia="仿宋_GB2312" w:hAnsi="仿宋" w:cs="Times New Roman" w:hint="eastAsia"/>
          <w:color w:val="000000"/>
          <w:sz w:val="32"/>
          <w:szCs w:val="32"/>
        </w:rPr>
        <w:t>再次</w:t>
      </w:r>
      <w:r w:rsidRPr="0076695E">
        <w:rPr>
          <w:rFonts w:ascii="仿宋_GB2312" w:eastAsia="仿宋_GB2312" w:hAnsi="仿宋" w:cs="Times New Roman"/>
          <w:color w:val="000000"/>
          <w:sz w:val="32"/>
          <w:szCs w:val="32"/>
        </w:rPr>
        <w:t>，</w:t>
      </w:r>
      <w:r w:rsidRPr="0076695E">
        <w:rPr>
          <w:rFonts w:ascii="仿宋_GB2312" w:eastAsia="仿宋_GB2312" w:hAnsi="仿宋" w:cs="Times New Roman" w:hint="eastAsia"/>
          <w:color w:val="000000"/>
          <w:sz w:val="32"/>
          <w:szCs w:val="32"/>
        </w:rPr>
        <w:t>指导</w:t>
      </w:r>
      <w:r w:rsidRPr="0076695E">
        <w:rPr>
          <w:rFonts w:ascii="仿宋_GB2312" w:eastAsia="仿宋_GB2312" w:hAnsi="仿宋" w:cs="Times New Roman"/>
          <w:color w:val="000000"/>
          <w:sz w:val="32"/>
          <w:szCs w:val="32"/>
        </w:rPr>
        <w:t>原则</w:t>
      </w:r>
      <w:r w:rsidRPr="0076695E">
        <w:rPr>
          <w:rFonts w:ascii="仿宋_GB2312" w:eastAsia="仿宋_GB2312" w:hAnsi="仿宋" w:cs="Times New Roman" w:hint="eastAsia"/>
          <w:color w:val="000000"/>
          <w:sz w:val="32"/>
          <w:szCs w:val="32"/>
        </w:rPr>
        <w:t>结合肿瘤治疗性疫苗</w:t>
      </w:r>
      <w:r w:rsidRPr="0076695E">
        <w:rPr>
          <w:rFonts w:ascii="仿宋_GB2312" w:eastAsia="仿宋_GB2312" w:hAnsi="仿宋" w:cs="Times New Roman"/>
          <w:color w:val="000000"/>
          <w:sz w:val="32"/>
          <w:szCs w:val="32"/>
        </w:rPr>
        <w:t>的作用机制对早期探索性研究中关键要素进行了充分说明</w:t>
      </w:r>
      <w:r w:rsidRPr="0076695E">
        <w:rPr>
          <w:rFonts w:ascii="仿宋_GB2312" w:eastAsia="仿宋_GB2312" w:hAnsi="仿宋" w:cs="Times New Roman" w:hint="eastAsia"/>
          <w:color w:val="000000"/>
          <w:sz w:val="32"/>
          <w:szCs w:val="32"/>
        </w:rPr>
        <w:t>，如</w:t>
      </w:r>
      <w:r w:rsidRPr="0076695E">
        <w:rPr>
          <w:rFonts w:ascii="仿宋_GB2312" w:eastAsia="仿宋_GB2312" w:hAnsi="仿宋" w:cs="Times New Roman"/>
          <w:color w:val="000000"/>
          <w:sz w:val="32"/>
          <w:szCs w:val="32"/>
        </w:rPr>
        <w:t>观察</w:t>
      </w:r>
      <w:r>
        <w:rPr>
          <w:rFonts w:ascii="仿宋_GB2312" w:eastAsia="仿宋_GB2312" w:hAnsi="仿宋" w:cs="Times New Roman" w:hint="eastAsia"/>
          <w:color w:val="000000"/>
          <w:sz w:val="32"/>
          <w:szCs w:val="32"/>
        </w:rPr>
        <w:t>安全性、确定剂量和免疫程序，并通过生物活性或者临床疗效</w:t>
      </w:r>
      <w:r w:rsidRPr="0076695E">
        <w:rPr>
          <w:rFonts w:ascii="仿宋_GB2312" w:eastAsia="仿宋_GB2312" w:hAnsi="仿宋" w:cs="Times New Roman" w:hint="eastAsia"/>
          <w:color w:val="000000"/>
          <w:sz w:val="32"/>
          <w:szCs w:val="32"/>
        </w:rPr>
        <w:t>来初步确认疫苗的治疗潜力等。最后一部分</w:t>
      </w:r>
      <w:r w:rsidRPr="0076695E">
        <w:rPr>
          <w:rFonts w:ascii="仿宋_GB2312" w:eastAsia="仿宋_GB2312" w:hAnsi="仿宋" w:cs="Times New Roman"/>
          <w:color w:val="000000"/>
          <w:sz w:val="32"/>
          <w:szCs w:val="32"/>
        </w:rPr>
        <w:t>内容为</w:t>
      </w:r>
      <w:r w:rsidRPr="0076695E">
        <w:rPr>
          <w:rFonts w:ascii="仿宋_GB2312" w:eastAsia="仿宋_GB2312" w:hAnsi="仿宋" w:cs="Times New Roman" w:hint="eastAsia"/>
          <w:color w:val="000000"/>
          <w:sz w:val="32"/>
          <w:szCs w:val="32"/>
        </w:rPr>
        <w:t>确证性临床研究，重点介绍了肿瘤治疗性疫苗</w:t>
      </w:r>
      <w:r w:rsidRPr="0076695E">
        <w:rPr>
          <w:rFonts w:ascii="仿宋_GB2312" w:eastAsia="仿宋_GB2312" w:hAnsi="仿宋" w:cs="Times New Roman"/>
          <w:color w:val="000000"/>
          <w:sz w:val="32"/>
          <w:szCs w:val="32"/>
        </w:rPr>
        <w:t>药物临床试验设计的考虑，内容涵盖了试验设计的总体设计、</w:t>
      </w:r>
      <w:r w:rsidRPr="0076695E">
        <w:rPr>
          <w:rFonts w:ascii="仿宋_GB2312" w:eastAsia="仿宋_GB2312" w:hAnsi="仿宋" w:cs="Times New Roman" w:hint="eastAsia"/>
          <w:color w:val="000000"/>
          <w:sz w:val="32"/>
          <w:szCs w:val="32"/>
        </w:rPr>
        <w:t>临床</w:t>
      </w:r>
      <w:r w:rsidRPr="0076695E">
        <w:rPr>
          <w:rFonts w:ascii="仿宋_GB2312" w:eastAsia="仿宋_GB2312" w:hAnsi="仿宋" w:cs="Times New Roman"/>
          <w:color w:val="000000"/>
          <w:sz w:val="32"/>
          <w:szCs w:val="32"/>
        </w:rPr>
        <w:t>疗效终点的选择</w:t>
      </w:r>
      <w:r w:rsidRPr="0076695E">
        <w:rPr>
          <w:rFonts w:ascii="仿宋_GB2312" w:eastAsia="仿宋_GB2312" w:hAnsi="仿宋" w:cs="Times New Roman" w:hint="eastAsia"/>
          <w:color w:val="000000"/>
          <w:sz w:val="32"/>
          <w:szCs w:val="32"/>
        </w:rPr>
        <w:t>、</w:t>
      </w:r>
      <w:r w:rsidRPr="0076695E">
        <w:rPr>
          <w:rFonts w:ascii="仿宋_GB2312" w:eastAsia="仿宋_GB2312" w:hAnsi="仿宋" w:cs="Times New Roman"/>
          <w:color w:val="000000"/>
          <w:sz w:val="32"/>
          <w:szCs w:val="32"/>
        </w:rPr>
        <w:t>安全性评价以及</w:t>
      </w:r>
      <w:r w:rsidRPr="0076695E">
        <w:rPr>
          <w:rFonts w:ascii="仿宋_GB2312" w:eastAsia="仿宋_GB2312" w:hAnsi="仿宋" w:cs="Times New Roman" w:hint="eastAsia"/>
          <w:color w:val="000000"/>
          <w:sz w:val="32"/>
          <w:szCs w:val="32"/>
        </w:rPr>
        <w:t>个性化或自体疫苗的特殊考虑。</w:t>
      </w:r>
    </w:p>
    <w:p w:rsidR="00C0189A" w:rsidRPr="009D011A" w:rsidRDefault="00C0189A"/>
    <w:sectPr w:rsidR="00C0189A" w:rsidRPr="009D01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83" w:rsidRDefault="00137983" w:rsidP="009D011A">
      <w:r>
        <w:separator/>
      </w:r>
    </w:p>
  </w:endnote>
  <w:endnote w:type="continuationSeparator" w:id="0">
    <w:p w:rsidR="00137983" w:rsidRDefault="00137983" w:rsidP="009D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83" w:rsidRDefault="00137983" w:rsidP="009D011A">
      <w:r>
        <w:separator/>
      </w:r>
    </w:p>
  </w:footnote>
  <w:footnote w:type="continuationSeparator" w:id="0">
    <w:p w:rsidR="00137983" w:rsidRDefault="00137983" w:rsidP="009D01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7483"/>
    <w:multiLevelType w:val="singleLevel"/>
    <w:tmpl w:val="17957483"/>
    <w:lvl w:ilvl="0">
      <w:start w:val="2"/>
      <w:numFmt w:val="chineseCounting"/>
      <w:suff w:val="nothing"/>
      <w:lvlText w:val="%1、"/>
      <w:lvlJc w:val="left"/>
      <w:rPr>
        <w:rFonts w:hint="eastAsia"/>
      </w:rPr>
    </w:lvl>
  </w:abstractNum>
  <w:abstractNum w:abstractNumId="1" w15:restartNumberingAfterBreak="0">
    <w:nsid w:val="64A723D3"/>
    <w:multiLevelType w:val="hybridMultilevel"/>
    <w:tmpl w:val="AEAEE0BC"/>
    <w:lvl w:ilvl="0" w:tplc="2DCEA60C">
      <w:start w:val="1"/>
      <w:numFmt w:val="japaneseCounting"/>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15"/>
    <w:rsid w:val="00094695"/>
    <w:rsid w:val="000A6337"/>
    <w:rsid w:val="00137983"/>
    <w:rsid w:val="00261454"/>
    <w:rsid w:val="002B5A24"/>
    <w:rsid w:val="0037658C"/>
    <w:rsid w:val="00402B70"/>
    <w:rsid w:val="00407DF9"/>
    <w:rsid w:val="00452803"/>
    <w:rsid w:val="004C4F79"/>
    <w:rsid w:val="00525D72"/>
    <w:rsid w:val="005740F9"/>
    <w:rsid w:val="005A6815"/>
    <w:rsid w:val="005B0AFE"/>
    <w:rsid w:val="00601EC4"/>
    <w:rsid w:val="006A6359"/>
    <w:rsid w:val="00712D3C"/>
    <w:rsid w:val="00715028"/>
    <w:rsid w:val="00787001"/>
    <w:rsid w:val="008131B6"/>
    <w:rsid w:val="009D011A"/>
    <w:rsid w:val="009E5F02"/>
    <w:rsid w:val="00A203A3"/>
    <w:rsid w:val="00A30E0C"/>
    <w:rsid w:val="00A533F5"/>
    <w:rsid w:val="00A85985"/>
    <w:rsid w:val="00AC64A7"/>
    <w:rsid w:val="00B34FD0"/>
    <w:rsid w:val="00B73DF2"/>
    <w:rsid w:val="00B8318D"/>
    <w:rsid w:val="00C0189A"/>
    <w:rsid w:val="00C606B5"/>
    <w:rsid w:val="00D01809"/>
    <w:rsid w:val="00D05E53"/>
    <w:rsid w:val="00D51B98"/>
    <w:rsid w:val="00D543C1"/>
    <w:rsid w:val="00D55D92"/>
    <w:rsid w:val="00E81830"/>
    <w:rsid w:val="00EB014F"/>
    <w:rsid w:val="00F90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ECBFA"/>
  <w15:chartTrackingRefBased/>
  <w15:docId w15:val="{1F031FBB-C6A6-4620-94CE-4E4BEC04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1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011A"/>
    <w:rPr>
      <w:sz w:val="18"/>
      <w:szCs w:val="18"/>
    </w:rPr>
  </w:style>
  <w:style w:type="paragraph" w:styleId="a5">
    <w:name w:val="footer"/>
    <w:basedOn w:val="a"/>
    <w:link w:val="a6"/>
    <w:uiPriority w:val="99"/>
    <w:unhideWhenUsed/>
    <w:rsid w:val="009D011A"/>
    <w:pPr>
      <w:tabs>
        <w:tab w:val="center" w:pos="4153"/>
        <w:tab w:val="right" w:pos="8306"/>
      </w:tabs>
      <w:snapToGrid w:val="0"/>
      <w:jc w:val="left"/>
    </w:pPr>
    <w:rPr>
      <w:sz w:val="18"/>
      <w:szCs w:val="18"/>
    </w:rPr>
  </w:style>
  <w:style w:type="character" w:customStyle="1" w:styleId="a6">
    <w:name w:val="页脚 字符"/>
    <w:basedOn w:val="a0"/>
    <w:link w:val="a5"/>
    <w:uiPriority w:val="99"/>
    <w:rsid w:val="009D01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Company>Microsoft</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刘妍彤</dc:creator>
  <cp:keywords/>
  <dc:description/>
  <cp:lastModifiedBy>刘妍彤</cp:lastModifiedBy>
  <cp:revision>2</cp:revision>
  <dcterms:created xsi:type="dcterms:W3CDTF">2022-10-09T03:26:00Z</dcterms:created>
  <dcterms:modified xsi:type="dcterms:W3CDTF">2022-10-09T03:26:00Z</dcterms:modified>
</cp:coreProperties>
</file>