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26" w:rsidRDefault="000A2926">
      <w:pPr>
        <w:spacing w:line="360" w:lineRule="auto"/>
        <w:jc w:val="center"/>
        <w:rPr>
          <w:rFonts w:ascii="Times New Roman" w:eastAsia="黑体" w:hAnsi="Times New Roman" w:cs="Times New Roman"/>
          <w:b/>
          <w:bCs/>
          <w:sz w:val="28"/>
          <w:szCs w:val="28"/>
        </w:rPr>
      </w:pPr>
      <w:bookmarkStart w:id="0" w:name="_GoBack"/>
      <w:bookmarkEnd w:id="0"/>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28"/>
          <w:szCs w:val="28"/>
        </w:rPr>
      </w:pPr>
    </w:p>
    <w:p w:rsidR="000A2926" w:rsidRDefault="000A2926">
      <w:pPr>
        <w:spacing w:line="360" w:lineRule="auto"/>
        <w:jc w:val="center"/>
        <w:rPr>
          <w:rFonts w:ascii="Times New Roman" w:eastAsia="黑体" w:hAnsi="Times New Roman" w:cs="Times New Roman"/>
          <w:b/>
          <w:bCs/>
          <w:sz w:val="48"/>
          <w:szCs w:val="48"/>
        </w:rPr>
      </w:pPr>
    </w:p>
    <w:p w:rsidR="006861E9" w:rsidRPr="00C97ADC" w:rsidRDefault="00A31AE0" w:rsidP="00EF6427">
      <w:pPr>
        <w:widowControl/>
        <w:spacing w:line="360" w:lineRule="auto"/>
        <w:jc w:val="center"/>
        <w:rPr>
          <w:rFonts w:ascii="方正小标宋简体" w:eastAsia="方正小标宋简体" w:hAnsi="宋体" w:cs="Times New Roman"/>
          <w:bCs/>
          <w:sz w:val="48"/>
          <w:szCs w:val="32"/>
        </w:rPr>
      </w:pPr>
      <w:r w:rsidRPr="00C97ADC">
        <w:rPr>
          <w:rFonts w:ascii="方正小标宋简体" w:eastAsia="方正小标宋简体" w:hAnsi="宋体" w:cs="Times New Roman" w:hint="eastAsia"/>
          <w:bCs/>
          <w:sz w:val="48"/>
          <w:szCs w:val="32"/>
        </w:rPr>
        <w:t>慢性淋巴细胞白血病新药</w:t>
      </w:r>
      <w:r w:rsidR="006861E9" w:rsidRPr="00C97ADC">
        <w:rPr>
          <w:rFonts w:ascii="方正小标宋简体" w:eastAsia="方正小标宋简体" w:hAnsi="宋体" w:cs="Times New Roman" w:hint="eastAsia"/>
          <w:bCs/>
          <w:sz w:val="48"/>
          <w:szCs w:val="32"/>
        </w:rPr>
        <w:t>临床研发</w:t>
      </w:r>
    </w:p>
    <w:p w:rsidR="000A2926" w:rsidRPr="00C97ADC" w:rsidRDefault="0025114C" w:rsidP="00EF6427">
      <w:pPr>
        <w:widowControl/>
        <w:spacing w:line="360" w:lineRule="auto"/>
        <w:jc w:val="center"/>
        <w:rPr>
          <w:rFonts w:ascii="方正小标宋简体" w:eastAsia="方正小标宋简体" w:hAnsi="宋体" w:cs="Times New Roman"/>
          <w:bCs/>
          <w:sz w:val="48"/>
          <w:szCs w:val="32"/>
        </w:rPr>
      </w:pPr>
      <w:r w:rsidRPr="00C97ADC">
        <w:rPr>
          <w:rFonts w:ascii="方正小标宋简体" w:eastAsia="方正小标宋简体" w:hAnsi="宋体" w:cs="Times New Roman" w:hint="eastAsia"/>
          <w:bCs/>
          <w:sz w:val="48"/>
          <w:szCs w:val="32"/>
        </w:rPr>
        <w:t>技术指导原则</w:t>
      </w:r>
    </w:p>
    <w:p w:rsidR="000A2926" w:rsidRPr="00C97ADC" w:rsidRDefault="00877DCE" w:rsidP="00EF6427">
      <w:pPr>
        <w:widowControl/>
        <w:spacing w:line="360" w:lineRule="auto"/>
        <w:jc w:val="center"/>
        <w:rPr>
          <w:rFonts w:ascii="方正小标宋简体" w:eastAsia="方正小标宋简体" w:hAnsi="宋体" w:cs="Times New Roman"/>
          <w:bCs/>
          <w:sz w:val="48"/>
          <w:szCs w:val="32"/>
        </w:rPr>
      </w:pPr>
      <w:r w:rsidRPr="00C97ADC">
        <w:rPr>
          <w:rFonts w:ascii="方正小标宋简体" w:eastAsia="方正小标宋简体" w:hAnsi="宋体" w:cs="Times New Roman"/>
          <w:bCs/>
          <w:sz w:val="48"/>
          <w:szCs w:val="32"/>
        </w:rPr>
        <w:t>（</w:t>
      </w:r>
      <w:r w:rsidR="0025114C" w:rsidRPr="00C97ADC">
        <w:rPr>
          <w:rFonts w:ascii="方正小标宋简体" w:eastAsia="方正小标宋简体" w:hAnsi="宋体" w:cs="Times New Roman" w:hint="eastAsia"/>
          <w:bCs/>
          <w:sz w:val="48"/>
          <w:szCs w:val="32"/>
        </w:rPr>
        <w:t>征求</w:t>
      </w:r>
      <w:r w:rsidR="0025114C" w:rsidRPr="00C97ADC">
        <w:rPr>
          <w:rFonts w:ascii="方正小标宋简体" w:eastAsia="方正小标宋简体" w:hAnsi="宋体" w:cs="Times New Roman"/>
          <w:bCs/>
          <w:sz w:val="48"/>
          <w:szCs w:val="32"/>
        </w:rPr>
        <w:t>意见</w:t>
      </w:r>
      <w:r w:rsidR="00A462EC" w:rsidRPr="00C97ADC">
        <w:rPr>
          <w:rFonts w:ascii="方正小标宋简体" w:eastAsia="方正小标宋简体" w:hAnsi="宋体" w:cs="Times New Roman"/>
          <w:bCs/>
          <w:sz w:val="48"/>
          <w:szCs w:val="32"/>
        </w:rPr>
        <w:t>稿）</w:t>
      </w:r>
    </w:p>
    <w:p w:rsidR="000A2926" w:rsidRDefault="000A2926">
      <w:pPr>
        <w:spacing w:line="360" w:lineRule="auto"/>
        <w:jc w:val="center"/>
        <w:rPr>
          <w:rFonts w:ascii="Times New Roman" w:eastAsia="黑体" w:hAnsi="Times New Roman" w:cs="Times New Roman"/>
          <w:b/>
          <w:bCs/>
          <w:sz w:val="48"/>
          <w:szCs w:val="48"/>
        </w:rPr>
      </w:pPr>
    </w:p>
    <w:p w:rsidR="000A2926" w:rsidRPr="00EF6427" w:rsidRDefault="000A2926" w:rsidP="00EF6427">
      <w:pPr>
        <w:widowControl/>
        <w:spacing w:line="360" w:lineRule="auto"/>
        <w:jc w:val="center"/>
        <w:rPr>
          <w:rFonts w:ascii="Times New Roman" w:eastAsia="微软雅黑" w:hAnsi="Times New Roman" w:cs="Times New Roman"/>
          <w:b/>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Default="000A2926">
      <w:pPr>
        <w:spacing w:line="360" w:lineRule="auto"/>
        <w:jc w:val="center"/>
        <w:rPr>
          <w:rFonts w:ascii="Times New Roman" w:eastAsia="黑体" w:hAnsi="Times New Roman" w:cs="Times New Roman"/>
          <w:b/>
          <w:bCs/>
          <w:sz w:val="48"/>
          <w:szCs w:val="48"/>
        </w:rPr>
      </w:pPr>
    </w:p>
    <w:p w:rsidR="000A2926" w:rsidRPr="00C97ADC" w:rsidRDefault="00A462EC" w:rsidP="00C97ADC">
      <w:pPr>
        <w:spacing w:afterLines="50" w:after="156" w:line="240" w:lineRule="atLeast"/>
        <w:jc w:val="center"/>
        <w:rPr>
          <w:rFonts w:ascii="黑体" w:eastAsia="黑体" w:hAnsi="黑体" w:cs="Times New Roman"/>
          <w:bCs/>
          <w:sz w:val="32"/>
          <w:szCs w:val="32"/>
        </w:rPr>
      </w:pPr>
      <w:r w:rsidRPr="00C97ADC">
        <w:rPr>
          <w:rFonts w:ascii="黑体" w:eastAsia="黑体" w:hAnsi="黑体" w:cs="Times New Roman"/>
          <w:bCs/>
          <w:sz w:val="32"/>
          <w:szCs w:val="32"/>
        </w:rPr>
        <w:t>国家药品监督管理局</w:t>
      </w:r>
    </w:p>
    <w:p w:rsidR="000A2926" w:rsidRPr="00C97ADC" w:rsidRDefault="00A462EC" w:rsidP="00C97ADC">
      <w:pPr>
        <w:spacing w:afterLines="50" w:after="156" w:line="240" w:lineRule="atLeast"/>
        <w:jc w:val="center"/>
        <w:rPr>
          <w:rFonts w:ascii="黑体" w:eastAsia="黑体" w:hAnsi="黑体" w:cs="Times New Roman"/>
          <w:bCs/>
          <w:sz w:val="32"/>
          <w:szCs w:val="32"/>
        </w:rPr>
      </w:pPr>
      <w:r w:rsidRPr="00C97ADC">
        <w:rPr>
          <w:rFonts w:ascii="黑体" w:eastAsia="黑体" w:hAnsi="黑体" w:cs="Times New Roman"/>
          <w:bCs/>
          <w:sz w:val="32"/>
          <w:szCs w:val="32"/>
        </w:rPr>
        <w:t>202</w:t>
      </w:r>
      <w:r w:rsidR="006861E9" w:rsidRPr="00C97ADC">
        <w:rPr>
          <w:rFonts w:ascii="黑体" w:eastAsia="黑体" w:hAnsi="黑体" w:cs="Times New Roman"/>
          <w:bCs/>
          <w:sz w:val="32"/>
          <w:szCs w:val="32"/>
        </w:rPr>
        <w:t>2</w:t>
      </w:r>
      <w:r w:rsidRPr="00C97ADC">
        <w:rPr>
          <w:rFonts w:ascii="黑体" w:eastAsia="黑体" w:hAnsi="黑体" w:cs="Times New Roman"/>
          <w:bCs/>
          <w:sz w:val="32"/>
          <w:szCs w:val="32"/>
        </w:rPr>
        <w:t>年月</w:t>
      </w:r>
    </w:p>
    <w:p w:rsidR="000A2926" w:rsidRDefault="00A462EC">
      <w:pPr>
        <w:jc w:val="left"/>
        <w:rPr>
          <w:rFonts w:ascii="Times New Roman" w:eastAsia="黑体" w:hAnsi="Times New Roman" w:cs="Times New Roman"/>
          <w:b/>
          <w:bCs/>
          <w:sz w:val="28"/>
          <w:szCs w:val="28"/>
        </w:rPr>
      </w:pPr>
      <w:r>
        <w:rPr>
          <w:rFonts w:ascii="Times New Roman" w:eastAsia="黑体" w:hAnsi="Times New Roman" w:cs="Times New Roman"/>
          <w:b/>
          <w:bCs/>
          <w:sz w:val="28"/>
          <w:szCs w:val="28"/>
        </w:rPr>
        <w:br w:type="page"/>
      </w:r>
    </w:p>
    <w:p w:rsidR="000A2926" w:rsidRDefault="000A2926">
      <w:pPr>
        <w:rPr>
          <w:rFonts w:ascii="Times New Roman" w:hAnsi="Times New Roman" w:cs="Times New Roman"/>
        </w:rPr>
      </w:pPr>
    </w:p>
    <w:sdt>
      <w:sdtPr>
        <w:rPr>
          <w:rFonts w:ascii="Times New Roman" w:eastAsia="宋体" w:hAnsi="Times New Roman" w:cs="Times New Roman"/>
          <w:sz w:val="56"/>
          <w:szCs w:val="32"/>
        </w:rPr>
        <w:id w:val="147480139"/>
        <w:docPartObj>
          <w:docPartGallery w:val="Table of Contents"/>
          <w:docPartUnique/>
        </w:docPartObj>
      </w:sdtPr>
      <w:sdtEndPr>
        <w:rPr>
          <w:rFonts w:ascii="仿宋_GB2312" w:eastAsia="仿宋_GB2312" w:hint="eastAsia"/>
          <w:sz w:val="32"/>
        </w:rPr>
      </w:sdtEndPr>
      <w:sdtContent>
        <w:p w:rsidR="000A2926" w:rsidRPr="00C97ADC" w:rsidRDefault="00A462EC" w:rsidP="00B50235">
          <w:pPr>
            <w:spacing w:line="360" w:lineRule="auto"/>
            <w:jc w:val="center"/>
            <w:rPr>
              <w:rFonts w:ascii="方正小标宋简体" w:eastAsia="方正小标宋简体" w:hAnsiTheme="majorHAnsi" w:cstheme="majorBidi"/>
              <w:b/>
              <w:kern w:val="0"/>
              <w:sz w:val="36"/>
              <w:szCs w:val="32"/>
              <w:lang w:val="zh-CN"/>
            </w:rPr>
          </w:pPr>
          <w:r w:rsidRPr="00C97ADC">
            <w:rPr>
              <w:rFonts w:ascii="方正小标宋简体" w:eastAsia="方正小标宋简体" w:hAnsiTheme="majorHAnsi" w:cstheme="majorBidi"/>
              <w:b/>
              <w:kern w:val="0"/>
              <w:sz w:val="36"/>
              <w:szCs w:val="32"/>
              <w:lang w:val="zh-CN"/>
            </w:rPr>
            <w:t>目录</w:t>
          </w:r>
        </w:p>
        <w:p w:rsidR="00EC073B" w:rsidRPr="00EC073B" w:rsidRDefault="005467DB" w:rsidP="00EC073B">
          <w:pPr>
            <w:pStyle w:val="10"/>
            <w:tabs>
              <w:tab w:val="right" w:leader="dot" w:pos="8296"/>
            </w:tabs>
            <w:rPr>
              <w:rFonts w:ascii="仿宋_GB2312" w:eastAsia="仿宋_GB2312"/>
              <w:noProof/>
              <w:sz w:val="32"/>
              <w:szCs w:val="32"/>
            </w:rPr>
          </w:pPr>
          <w:r w:rsidRPr="00EC073B">
            <w:rPr>
              <w:rFonts w:ascii="仿宋_GB2312" w:eastAsia="仿宋_GB2312" w:hAnsi="Times New Roman" w:cs="Times New Roman" w:hint="eastAsia"/>
              <w:sz w:val="32"/>
              <w:szCs w:val="32"/>
            </w:rPr>
            <w:fldChar w:fldCharType="begin"/>
          </w:r>
          <w:r w:rsidR="00A462EC" w:rsidRPr="00EC073B">
            <w:rPr>
              <w:rFonts w:ascii="仿宋_GB2312" w:eastAsia="仿宋_GB2312" w:hAnsi="Times New Roman" w:cs="Times New Roman" w:hint="eastAsia"/>
              <w:sz w:val="32"/>
              <w:szCs w:val="32"/>
            </w:rPr>
            <w:instrText xml:space="preserve">TOC \o "1-3" \h \u </w:instrText>
          </w:r>
          <w:r w:rsidRPr="00EC073B">
            <w:rPr>
              <w:rFonts w:ascii="仿宋_GB2312" w:eastAsia="仿宋_GB2312" w:hAnsi="Times New Roman" w:cs="Times New Roman" w:hint="eastAsia"/>
              <w:sz w:val="32"/>
              <w:szCs w:val="32"/>
            </w:rPr>
            <w:fldChar w:fldCharType="separate"/>
          </w:r>
          <w:hyperlink w:anchor="_Toc104979981" w:history="1">
            <w:r w:rsidR="00EC073B" w:rsidRPr="00EC073B">
              <w:rPr>
                <w:rStyle w:val="a9"/>
                <w:rFonts w:ascii="仿宋_GB2312" w:eastAsia="仿宋_GB2312" w:hAnsi="Times New Roman" w:cs="Times New Roman" w:hint="eastAsia"/>
                <w:noProof/>
                <w:kern w:val="0"/>
                <w:sz w:val="32"/>
                <w:szCs w:val="32"/>
              </w:rPr>
              <w:t>一、概述</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_Toc104979981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10"/>
            <w:tabs>
              <w:tab w:val="right" w:leader="dot" w:pos="8296"/>
            </w:tabs>
            <w:rPr>
              <w:rFonts w:ascii="仿宋_GB2312" w:eastAsia="仿宋_GB2312"/>
              <w:noProof/>
              <w:sz w:val="32"/>
              <w:szCs w:val="32"/>
            </w:rPr>
          </w:pPr>
          <w:hyperlink w:anchor="_Toc104979982" w:history="1">
            <w:r w:rsidR="00EC073B" w:rsidRPr="00EC073B">
              <w:rPr>
                <w:rStyle w:val="a9"/>
                <w:rFonts w:ascii="仿宋_GB2312" w:eastAsia="仿宋_GB2312" w:hAnsi="Times New Roman" w:cs="Times New Roman" w:hint="eastAsia"/>
                <w:noProof/>
                <w:kern w:val="0"/>
                <w:sz w:val="32"/>
                <w:szCs w:val="32"/>
              </w:rPr>
              <w:t>二、基于疾病特征的临床研究特殊考虑</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_Toc104979982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2</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83" w:history="1">
            <w:r w:rsidR="00EC073B" w:rsidRPr="00EC073B">
              <w:rPr>
                <w:rStyle w:val="a9"/>
                <w:rFonts w:ascii="仿宋_GB2312" w:eastAsia="仿宋_GB2312" w:hint="eastAsia"/>
                <w:noProof/>
                <w:sz w:val="32"/>
                <w:szCs w:val="32"/>
              </w:rPr>
              <w:t>（一）治疗指征的确定</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_Toc104979983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2</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84" w:history="1">
            <w:r w:rsidR="00EC073B" w:rsidRPr="00EC073B">
              <w:rPr>
                <w:rStyle w:val="a9"/>
                <w:rFonts w:ascii="仿宋_GB2312" w:eastAsia="仿宋_GB2312" w:hint="eastAsia"/>
                <w:noProof/>
                <w:sz w:val="32"/>
                <w:szCs w:val="32"/>
              </w:rPr>
              <w:t>（二）治疗目标的选择</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_Toc104979984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3</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85" w:history="1">
            <w:r w:rsidR="00EC073B" w:rsidRPr="00EC073B">
              <w:rPr>
                <w:rStyle w:val="a9"/>
                <w:rFonts w:ascii="仿宋_GB2312" w:eastAsia="仿宋_GB2312" w:hint="eastAsia"/>
                <w:noProof/>
                <w:sz w:val="32"/>
                <w:szCs w:val="32"/>
              </w:rPr>
              <w:t>（三）治疗人群的分层</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_Toc104979985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4</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86" w:history="1">
            <w:r w:rsidR="00EC073B" w:rsidRPr="00EC073B">
              <w:rPr>
                <w:rStyle w:val="a9"/>
                <w:rFonts w:ascii="仿宋_GB2312" w:eastAsia="仿宋_GB2312" w:hint="eastAsia"/>
                <w:noProof/>
                <w:sz w:val="32"/>
                <w:szCs w:val="32"/>
              </w:rPr>
              <w:t>（四）其他考虑</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_Toc104979986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5</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10"/>
            <w:tabs>
              <w:tab w:val="right" w:leader="dot" w:pos="8296"/>
            </w:tabs>
            <w:rPr>
              <w:rFonts w:ascii="仿宋_GB2312" w:eastAsia="仿宋_GB2312"/>
              <w:noProof/>
              <w:sz w:val="32"/>
              <w:szCs w:val="32"/>
            </w:rPr>
          </w:pPr>
          <w:hyperlink w:anchor="_Toc104979987" w:history="1">
            <w:r w:rsidR="00EC073B" w:rsidRPr="00EC073B">
              <w:rPr>
                <w:rStyle w:val="a9"/>
                <w:rFonts w:ascii="仿宋_GB2312" w:eastAsia="仿宋_GB2312" w:hAnsi="Times New Roman" w:cs="Times New Roman" w:hint="eastAsia"/>
                <w:noProof/>
                <w:kern w:val="0"/>
                <w:sz w:val="32"/>
                <w:szCs w:val="32"/>
              </w:rPr>
              <w:t>三、剂量探索</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_Toc104979987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5</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10"/>
            <w:tabs>
              <w:tab w:val="right" w:leader="dot" w:pos="8296"/>
            </w:tabs>
            <w:rPr>
              <w:rFonts w:ascii="仿宋_GB2312" w:eastAsia="仿宋_GB2312"/>
              <w:noProof/>
              <w:sz w:val="32"/>
              <w:szCs w:val="32"/>
            </w:rPr>
          </w:pPr>
          <w:hyperlink w:anchor="_Toc104979988" w:history="1">
            <w:r w:rsidR="00EC073B" w:rsidRPr="00EC073B">
              <w:rPr>
                <w:rStyle w:val="a9"/>
                <w:rFonts w:ascii="仿宋_GB2312" w:eastAsia="仿宋_GB2312" w:hAnsi="Times New Roman" w:cs="Times New Roman" w:hint="eastAsia"/>
                <w:noProof/>
                <w:kern w:val="0"/>
                <w:sz w:val="32"/>
                <w:szCs w:val="32"/>
              </w:rPr>
              <w:t>四、有效性终点</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_Toc104979988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7</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89" w:history="1">
            <w:r w:rsidR="00EC073B" w:rsidRPr="00EC073B">
              <w:rPr>
                <w:rStyle w:val="a9"/>
                <w:rFonts w:ascii="仿宋_GB2312" w:eastAsia="仿宋_GB2312" w:hint="eastAsia"/>
                <w:noProof/>
                <w:sz w:val="32"/>
                <w:szCs w:val="32"/>
              </w:rPr>
              <w:t>（一）缓解或进展</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_Toc104979989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7</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90" w:history="1">
            <w:r w:rsidR="00EC073B" w:rsidRPr="00EC073B">
              <w:rPr>
                <w:rStyle w:val="a9"/>
                <w:rFonts w:ascii="仿宋_GB2312" w:eastAsia="仿宋_GB2312" w:hint="eastAsia"/>
                <w:noProof/>
                <w:sz w:val="32"/>
                <w:szCs w:val="32"/>
              </w:rPr>
              <w:t>（二）时间相关指标</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_Toc104979990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10</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91" w:history="1">
            <w:r w:rsidR="00EC073B" w:rsidRPr="00EC073B">
              <w:rPr>
                <w:rStyle w:val="a9"/>
                <w:rFonts w:ascii="仿宋_GB2312" w:eastAsia="仿宋_GB2312" w:hint="eastAsia"/>
                <w:noProof/>
                <w:sz w:val="32"/>
                <w:szCs w:val="32"/>
              </w:rPr>
              <w:t>（三）生活质量评价及患者报告结局</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_Toc104979991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11</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10"/>
            <w:tabs>
              <w:tab w:val="right" w:leader="dot" w:pos="8296"/>
            </w:tabs>
            <w:rPr>
              <w:rFonts w:ascii="仿宋_GB2312" w:eastAsia="仿宋_GB2312"/>
              <w:noProof/>
              <w:sz w:val="32"/>
              <w:szCs w:val="32"/>
            </w:rPr>
          </w:pPr>
          <w:hyperlink w:anchor="_Toc104979992" w:history="1">
            <w:r w:rsidR="00EC073B" w:rsidRPr="00EC073B">
              <w:rPr>
                <w:rStyle w:val="a9"/>
                <w:rFonts w:ascii="仿宋_GB2312" w:eastAsia="仿宋_GB2312" w:hAnsi="Times New Roman" w:cs="Times New Roman" w:hint="eastAsia"/>
                <w:noProof/>
                <w:kern w:val="0"/>
                <w:sz w:val="32"/>
                <w:szCs w:val="32"/>
              </w:rPr>
              <w:t>五、关键性注册研究</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_Toc104979992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12</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93" w:history="1">
            <w:r w:rsidR="00EC073B" w:rsidRPr="00EC073B">
              <w:rPr>
                <w:rStyle w:val="a9"/>
                <w:rFonts w:ascii="仿宋_GB2312" w:eastAsia="仿宋_GB2312" w:hint="eastAsia"/>
                <w:noProof/>
                <w:sz w:val="32"/>
                <w:szCs w:val="32"/>
              </w:rPr>
              <w:t>（一）基线评估</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_Toc104979993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12</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94" w:history="1">
            <w:r w:rsidR="00EC073B" w:rsidRPr="00EC073B">
              <w:rPr>
                <w:rStyle w:val="a9"/>
                <w:rFonts w:ascii="仿宋_GB2312" w:eastAsia="仿宋_GB2312" w:hint="eastAsia"/>
                <w:noProof/>
                <w:sz w:val="32"/>
                <w:szCs w:val="32"/>
              </w:rPr>
              <w:t>（二）人群定义</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_Toc104979994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13</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95" w:history="1">
            <w:r w:rsidR="00EC073B" w:rsidRPr="00EC073B">
              <w:rPr>
                <w:rStyle w:val="a9"/>
                <w:rFonts w:ascii="仿宋_GB2312" w:eastAsia="仿宋_GB2312" w:hint="eastAsia"/>
                <w:noProof/>
                <w:sz w:val="32"/>
                <w:szCs w:val="32"/>
              </w:rPr>
              <w:t>（三）对照选择</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_Toc104979995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14</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20"/>
            <w:tabs>
              <w:tab w:val="right" w:leader="dot" w:pos="8296"/>
            </w:tabs>
            <w:rPr>
              <w:rFonts w:ascii="仿宋_GB2312" w:eastAsia="仿宋_GB2312"/>
              <w:noProof/>
              <w:sz w:val="32"/>
              <w:szCs w:val="32"/>
            </w:rPr>
          </w:pPr>
          <w:hyperlink w:anchor="_Toc104979996" w:history="1">
            <w:r w:rsidR="00EC073B" w:rsidRPr="00EC073B">
              <w:rPr>
                <w:rStyle w:val="a9"/>
                <w:rFonts w:ascii="仿宋_GB2312" w:eastAsia="仿宋_GB2312" w:hint="eastAsia"/>
                <w:noProof/>
                <w:sz w:val="32"/>
                <w:szCs w:val="32"/>
              </w:rPr>
              <w:t>（四）研究终点</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_Toc104979996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15</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10"/>
            <w:tabs>
              <w:tab w:val="right" w:leader="dot" w:pos="8296"/>
            </w:tabs>
            <w:rPr>
              <w:rFonts w:ascii="仿宋_GB2312" w:eastAsia="仿宋_GB2312"/>
              <w:noProof/>
              <w:sz w:val="32"/>
              <w:szCs w:val="32"/>
            </w:rPr>
          </w:pPr>
          <w:hyperlink w:anchor="_Toc104979997" w:history="1">
            <w:r w:rsidR="00EC073B" w:rsidRPr="00EC073B">
              <w:rPr>
                <w:rStyle w:val="a9"/>
                <w:rFonts w:ascii="仿宋_GB2312" w:eastAsia="仿宋_GB2312" w:hAnsi="Times New Roman" w:cs="Times New Roman" w:hint="eastAsia"/>
                <w:noProof/>
                <w:kern w:val="0"/>
                <w:sz w:val="32"/>
                <w:szCs w:val="32"/>
              </w:rPr>
              <w:t>六、安全性评价</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_Toc104979997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17</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10"/>
            <w:tabs>
              <w:tab w:val="right" w:leader="dot" w:pos="8296"/>
            </w:tabs>
            <w:rPr>
              <w:rFonts w:ascii="仿宋_GB2312" w:eastAsia="仿宋_GB2312"/>
              <w:noProof/>
              <w:sz w:val="32"/>
              <w:szCs w:val="32"/>
            </w:rPr>
          </w:pPr>
          <w:hyperlink w:anchor="_Toc104979998" w:history="1">
            <w:r w:rsidR="00EC073B" w:rsidRPr="00EC073B">
              <w:rPr>
                <w:rStyle w:val="a9"/>
                <w:rFonts w:ascii="仿宋_GB2312" w:eastAsia="仿宋_GB2312" w:hAnsi="Times New Roman" w:cs="Times New Roman" w:hint="eastAsia"/>
                <w:noProof/>
                <w:kern w:val="0"/>
                <w:sz w:val="32"/>
                <w:szCs w:val="32"/>
              </w:rPr>
              <w:t>七、上市后要求</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_Toc104979998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18</w:t>
            </w:r>
            <w:r w:rsidR="00EC073B" w:rsidRPr="00EC073B">
              <w:rPr>
                <w:rFonts w:ascii="仿宋_GB2312" w:eastAsia="仿宋_GB2312" w:hint="eastAsia"/>
                <w:noProof/>
                <w:sz w:val="32"/>
                <w:szCs w:val="32"/>
              </w:rPr>
              <w:fldChar w:fldCharType="end"/>
            </w:r>
          </w:hyperlink>
        </w:p>
        <w:p w:rsidR="00EC073B" w:rsidRPr="00EC073B" w:rsidRDefault="00CC3378" w:rsidP="00EC073B">
          <w:pPr>
            <w:pStyle w:val="10"/>
            <w:tabs>
              <w:tab w:val="right" w:leader="dot" w:pos="8296"/>
            </w:tabs>
            <w:rPr>
              <w:rFonts w:ascii="仿宋_GB2312" w:eastAsia="仿宋_GB2312"/>
              <w:noProof/>
              <w:sz w:val="32"/>
              <w:szCs w:val="32"/>
            </w:rPr>
          </w:pPr>
          <w:hyperlink w:anchor="_Toc104979999" w:history="1">
            <w:r w:rsidR="00EC073B" w:rsidRPr="00EC073B">
              <w:rPr>
                <w:rStyle w:val="a9"/>
                <w:rFonts w:ascii="仿宋_GB2312" w:eastAsia="仿宋_GB2312" w:hAnsi="Times New Roman" w:cs="Times New Roman" w:hint="eastAsia"/>
                <w:b/>
                <w:bCs/>
                <w:noProof/>
                <w:sz w:val="32"/>
                <w:szCs w:val="32"/>
              </w:rPr>
              <w:t>参考文献</w:t>
            </w:r>
            <w:r w:rsidR="00EC073B" w:rsidRPr="00EC073B">
              <w:rPr>
                <w:rFonts w:ascii="仿宋_GB2312" w:eastAsia="仿宋_GB2312" w:hint="eastAsia"/>
                <w:noProof/>
                <w:sz w:val="32"/>
                <w:szCs w:val="32"/>
              </w:rPr>
              <w:tab/>
            </w:r>
            <w:r w:rsidR="00EC073B" w:rsidRPr="00EC073B">
              <w:rPr>
                <w:rFonts w:ascii="仿宋_GB2312" w:eastAsia="仿宋_GB2312" w:hint="eastAsia"/>
                <w:noProof/>
                <w:sz w:val="32"/>
                <w:szCs w:val="32"/>
              </w:rPr>
              <w:fldChar w:fldCharType="begin"/>
            </w:r>
            <w:r w:rsidR="00EC073B" w:rsidRPr="00EC073B">
              <w:rPr>
                <w:rFonts w:ascii="仿宋_GB2312" w:eastAsia="仿宋_GB2312" w:hint="eastAsia"/>
                <w:noProof/>
                <w:sz w:val="32"/>
                <w:szCs w:val="32"/>
              </w:rPr>
              <w:instrText xml:space="preserve"> PAGEREF _Toc104979999 \h </w:instrText>
            </w:r>
            <w:r w:rsidR="00EC073B" w:rsidRPr="00EC073B">
              <w:rPr>
                <w:rFonts w:ascii="仿宋_GB2312" w:eastAsia="仿宋_GB2312" w:hint="eastAsia"/>
                <w:noProof/>
                <w:sz w:val="32"/>
                <w:szCs w:val="32"/>
              </w:rPr>
            </w:r>
            <w:r w:rsidR="00EC073B" w:rsidRPr="00EC073B">
              <w:rPr>
                <w:rFonts w:ascii="仿宋_GB2312" w:eastAsia="仿宋_GB2312" w:hint="eastAsia"/>
                <w:noProof/>
                <w:sz w:val="32"/>
                <w:szCs w:val="32"/>
              </w:rPr>
              <w:fldChar w:fldCharType="separate"/>
            </w:r>
            <w:r w:rsidR="00EC073B" w:rsidRPr="00EC073B">
              <w:rPr>
                <w:rFonts w:ascii="仿宋_GB2312" w:eastAsia="仿宋_GB2312" w:hint="eastAsia"/>
                <w:noProof/>
                <w:sz w:val="32"/>
                <w:szCs w:val="32"/>
              </w:rPr>
              <w:t>19</w:t>
            </w:r>
            <w:r w:rsidR="00EC073B" w:rsidRPr="00EC073B">
              <w:rPr>
                <w:rFonts w:ascii="仿宋_GB2312" w:eastAsia="仿宋_GB2312" w:hint="eastAsia"/>
                <w:noProof/>
                <w:sz w:val="32"/>
                <w:szCs w:val="32"/>
              </w:rPr>
              <w:fldChar w:fldCharType="end"/>
            </w:r>
          </w:hyperlink>
        </w:p>
        <w:p w:rsidR="000A2926" w:rsidRPr="00EC073B" w:rsidRDefault="005467DB" w:rsidP="00EC073B">
          <w:pPr>
            <w:rPr>
              <w:rFonts w:ascii="仿宋_GB2312" w:eastAsia="仿宋_GB2312" w:hAnsi="Times New Roman" w:cs="Times New Roman"/>
              <w:sz w:val="32"/>
              <w:szCs w:val="32"/>
            </w:rPr>
          </w:pPr>
          <w:r w:rsidRPr="00EC073B">
            <w:rPr>
              <w:rFonts w:ascii="仿宋_GB2312" w:eastAsia="仿宋_GB2312" w:hAnsi="Times New Roman" w:cs="Times New Roman" w:hint="eastAsia"/>
              <w:sz w:val="32"/>
              <w:szCs w:val="32"/>
            </w:rPr>
            <w:fldChar w:fldCharType="end"/>
          </w:r>
        </w:p>
      </w:sdtContent>
    </w:sdt>
    <w:p w:rsidR="001122ED" w:rsidRDefault="001122ED">
      <w:pPr>
        <w:numPr>
          <w:ilvl w:val="255"/>
          <w:numId w:val="0"/>
        </w:numPr>
        <w:spacing w:line="360" w:lineRule="auto"/>
        <w:rPr>
          <w:rFonts w:ascii="Times New Roman" w:eastAsia="黑体" w:hAnsi="Times New Roman" w:cs="Times New Roman"/>
          <w:sz w:val="24"/>
          <w:szCs w:val="16"/>
        </w:rPr>
        <w:sectPr w:rsidR="001122ED" w:rsidSect="001122ED">
          <w:footerReference w:type="default" r:id="rId9"/>
          <w:pgSz w:w="11906" w:h="16838"/>
          <w:pgMar w:top="1440" w:right="1800" w:bottom="1440" w:left="1800" w:header="851" w:footer="992" w:gutter="0"/>
          <w:pgNumType w:start="1"/>
          <w:cols w:space="425"/>
          <w:docGrid w:type="lines" w:linePitch="312"/>
        </w:sectPr>
      </w:pPr>
    </w:p>
    <w:p w:rsidR="000A2926" w:rsidRPr="00AB7583" w:rsidRDefault="00A462EC">
      <w:pPr>
        <w:pStyle w:val="1"/>
        <w:numPr>
          <w:ilvl w:val="255"/>
          <w:numId w:val="0"/>
        </w:numPr>
        <w:spacing w:before="200" w:after="200" w:line="360" w:lineRule="auto"/>
        <w:rPr>
          <w:rFonts w:ascii="Times New Roman" w:eastAsia="黑体" w:hAnsi="Times New Roman" w:cs="Times New Roman"/>
          <w:b w:val="0"/>
          <w:color w:val="000000"/>
          <w:kern w:val="0"/>
          <w:sz w:val="32"/>
          <w:szCs w:val="32"/>
        </w:rPr>
      </w:pPr>
      <w:bookmarkStart w:id="1" w:name="_Toc21200"/>
      <w:bookmarkStart w:id="2" w:name="_Toc5270"/>
      <w:bookmarkStart w:id="3" w:name="_Toc104979981"/>
      <w:r w:rsidRPr="00AB7583">
        <w:rPr>
          <w:rFonts w:ascii="Times New Roman" w:eastAsia="黑体" w:hAnsi="Times New Roman" w:cs="Times New Roman"/>
          <w:b w:val="0"/>
          <w:color w:val="000000"/>
          <w:kern w:val="0"/>
          <w:sz w:val="32"/>
          <w:szCs w:val="32"/>
        </w:rPr>
        <w:lastRenderedPageBreak/>
        <w:t>一、概述</w:t>
      </w:r>
      <w:bookmarkEnd w:id="1"/>
      <w:bookmarkEnd w:id="2"/>
      <w:bookmarkEnd w:id="3"/>
    </w:p>
    <w:p w:rsidR="00D92AD1" w:rsidRPr="00AB7583" w:rsidRDefault="00D92AD1" w:rsidP="007A10D9">
      <w:pPr>
        <w:spacing w:line="360" w:lineRule="auto"/>
        <w:ind w:firstLineChars="200" w:firstLine="640"/>
        <w:rPr>
          <w:rFonts w:ascii="仿宋_GB2312" w:eastAsia="仿宋_GB2312" w:hAnsi="Times New Roman" w:cs="Times New Roman"/>
          <w:color w:val="000000"/>
          <w:kern w:val="0"/>
          <w:sz w:val="32"/>
          <w:szCs w:val="32"/>
        </w:rPr>
      </w:pPr>
      <w:r w:rsidRPr="00AB7583">
        <w:rPr>
          <w:rFonts w:ascii="仿宋_GB2312" w:eastAsia="仿宋_GB2312" w:hAnsi="Times New Roman" w:cs="Times New Roman" w:hint="eastAsia"/>
          <w:color w:val="000000"/>
          <w:kern w:val="0"/>
          <w:sz w:val="32"/>
          <w:szCs w:val="32"/>
        </w:rPr>
        <w:t>慢性淋巴细胞白血病（</w:t>
      </w:r>
      <w:r w:rsidR="00DB7185" w:rsidRPr="00AB7583">
        <w:rPr>
          <w:rFonts w:ascii="仿宋_GB2312" w:eastAsia="仿宋_GB2312" w:hAnsi="Times New Roman" w:cs="Times New Roman" w:hint="eastAsia"/>
          <w:color w:val="000000"/>
          <w:kern w:val="0"/>
          <w:sz w:val="32"/>
          <w:szCs w:val="32"/>
        </w:rPr>
        <w:t>Chronic</w:t>
      </w:r>
      <w:r w:rsidR="00DB7185" w:rsidRPr="00AB7583">
        <w:rPr>
          <w:rFonts w:ascii="仿宋_GB2312" w:eastAsia="仿宋_GB2312" w:hAnsi="Times New Roman" w:cs="Times New Roman"/>
          <w:color w:val="000000"/>
          <w:kern w:val="0"/>
          <w:sz w:val="32"/>
          <w:szCs w:val="32"/>
        </w:rPr>
        <w:t xml:space="preserve"> lymphocytic </w:t>
      </w:r>
      <w:r w:rsidR="00DB7185" w:rsidRPr="00AB7583">
        <w:rPr>
          <w:rFonts w:ascii="仿宋_GB2312" w:eastAsia="仿宋_GB2312" w:hAnsi="Times New Roman" w:cs="Times New Roman" w:hint="eastAsia"/>
          <w:color w:val="000000"/>
          <w:kern w:val="0"/>
          <w:sz w:val="32"/>
          <w:szCs w:val="32"/>
        </w:rPr>
        <w:t>leukemia，</w:t>
      </w:r>
      <w:r w:rsidRPr="00AB7583">
        <w:rPr>
          <w:rFonts w:ascii="仿宋_GB2312" w:eastAsia="仿宋_GB2312" w:hAnsi="Times New Roman" w:cs="Times New Roman" w:hint="eastAsia"/>
          <w:color w:val="000000"/>
          <w:kern w:val="0"/>
          <w:sz w:val="32"/>
          <w:szCs w:val="32"/>
        </w:rPr>
        <w:t>CLL）是一种具有特定免疫表型特征的成熟B淋巴细胞克隆增殖性肿瘤</w:t>
      </w:r>
      <w:r w:rsidR="00DB7185" w:rsidRPr="00AB7583">
        <w:rPr>
          <w:rFonts w:ascii="仿宋_GB2312" w:eastAsia="仿宋_GB2312" w:hAnsi="Times New Roman" w:cs="Times New Roman" w:hint="eastAsia"/>
          <w:color w:val="000000"/>
          <w:kern w:val="0"/>
          <w:sz w:val="32"/>
          <w:szCs w:val="32"/>
        </w:rPr>
        <w:t>，以淋巴细胞在外周血、骨髓、脾脏和淋巴结聚集为特征</w:t>
      </w:r>
      <w:r w:rsidR="00AF4B56" w:rsidRPr="00AB7583">
        <w:rPr>
          <w:rFonts w:ascii="仿宋_GB2312" w:eastAsia="仿宋_GB2312" w:hAnsi="Times New Roman" w:cs="Times New Roman" w:hint="eastAsia"/>
          <w:color w:val="000000"/>
          <w:kern w:val="0"/>
          <w:sz w:val="32"/>
          <w:szCs w:val="32"/>
        </w:rPr>
        <w:t>，目前仍为不可治愈的疾病</w:t>
      </w:r>
      <w:r w:rsidR="00DB7185" w:rsidRPr="00AB7583">
        <w:rPr>
          <w:rFonts w:ascii="仿宋_GB2312" w:eastAsia="仿宋_GB2312" w:hAnsi="Times New Roman" w:cs="Times New Roman" w:hint="eastAsia"/>
          <w:color w:val="000000"/>
          <w:kern w:val="0"/>
          <w:sz w:val="32"/>
          <w:szCs w:val="32"/>
        </w:rPr>
        <w:t>。</w:t>
      </w:r>
      <w:r w:rsidR="00316361" w:rsidRPr="00AB7583">
        <w:rPr>
          <w:rFonts w:ascii="仿宋_GB2312" w:eastAsia="仿宋_GB2312" w:hAnsi="Times New Roman" w:cs="Times New Roman" w:hint="eastAsia"/>
          <w:color w:val="000000"/>
          <w:kern w:val="0"/>
          <w:sz w:val="32"/>
          <w:szCs w:val="32"/>
        </w:rPr>
        <w:t>该疾病主要发生在中老年人群，</w:t>
      </w:r>
      <w:r w:rsidRPr="00AB7583">
        <w:rPr>
          <w:rFonts w:ascii="仿宋_GB2312" w:eastAsia="仿宋_GB2312" w:hAnsi="Times New Roman" w:cs="Times New Roman" w:hint="eastAsia"/>
          <w:color w:val="000000"/>
          <w:kern w:val="0"/>
          <w:sz w:val="32"/>
          <w:szCs w:val="32"/>
        </w:rPr>
        <w:t>中位发病年龄超过7</w:t>
      </w:r>
      <w:r w:rsidRPr="00AB7583">
        <w:rPr>
          <w:rFonts w:ascii="仿宋_GB2312" w:eastAsia="仿宋_GB2312" w:hAnsi="Times New Roman" w:cs="Times New Roman"/>
          <w:color w:val="000000"/>
          <w:kern w:val="0"/>
          <w:sz w:val="32"/>
          <w:szCs w:val="32"/>
        </w:rPr>
        <w:t>0</w:t>
      </w:r>
      <w:r w:rsidR="000F4D5B" w:rsidRPr="00AB7583">
        <w:rPr>
          <w:rFonts w:ascii="仿宋_GB2312" w:eastAsia="仿宋_GB2312" w:hAnsi="Times New Roman" w:cs="Times New Roman" w:hint="eastAsia"/>
          <w:color w:val="000000"/>
          <w:kern w:val="0"/>
          <w:sz w:val="32"/>
          <w:szCs w:val="32"/>
        </w:rPr>
        <w:t>周</w:t>
      </w:r>
      <w:r w:rsidRPr="00AB7583">
        <w:rPr>
          <w:rFonts w:ascii="仿宋_GB2312" w:eastAsia="仿宋_GB2312" w:hAnsi="Times New Roman" w:cs="Times New Roman" w:hint="eastAsia"/>
          <w:color w:val="000000"/>
          <w:kern w:val="0"/>
          <w:sz w:val="32"/>
          <w:szCs w:val="32"/>
        </w:rPr>
        <w:t>岁</w:t>
      </w:r>
      <w:r w:rsidR="00316361" w:rsidRPr="00EC073B">
        <w:rPr>
          <w:rFonts w:ascii="仿宋_GB2312" w:eastAsia="仿宋_GB2312" w:hAnsi="Times New Roman" w:cs="Times New Roman"/>
          <w:color w:val="000000"/>
          <w:kern w:val="0"/>
          <w:sz w:val="32"/>
          <w:szCs w:val="32"/>
          <w:vertAlign w:val="superscript"/>
        </w:rPr>
        <w:t>[1</w:t>
      </w:r>
      <w:r w:rsidR="00027D36" w:rsidRPr="00EC073B">
        <w:rPr>
          <w:rFonts w:ascii="仿宋_GB2312" w:eastAsia="仿宋_GB2312" w:hAnsi="Times New Roman" w:cs="Times New Roman"/>
          <w:color w:val="000000"/>
          <w:kern w:val="0"/>
          <w:sz w:val="32"/>
          <w:szCs w:val="32"/>
          <w:vertAlign w:val="superscript"/>
        </w:rPr>
        <w:t>,2</w:t>
      </w:r>
      <w:r w:rsidR="00316361" w:rsidRPr="00EC073B">
        <w:rPr>
          <w:rFonts w:ascii="仿宋_GB2312" w:eastAsia="仿宋_GB2312" w:hAnsi="Times New Roman" w:cs="Times New Roman"/>
          <w:color w:val="000000"/>
          <w:kern w:val="0"/>
          <w:sz w:val="32"/>
          <w:szCs w:val="32"/>
          <w:vertAlign w:val="superscript"/>
        </w:rPr>
        <w:t>]</w:t>
      </w:r>
      <w:r w:rsidR="004A41E4" w:rsidRPr="00AB7583">
        <w:rPr>
          <w:rFonts w:ascii="仿宋_GB2312" w:eastAsia="仿宋_GB2312" w:hAnsi="Times New Roman" w:cs="Times New Roman" w:hint="eastAsia"/>
          <w:color w:val="000000"/>
          <w:kern w:val="0"/>
          <w:sz w:val="32"/>
          <w:szCs w:val="32"/>
        </w:rPr>
        <w:t>，</w:t>
      </w:r>
      <w:r w:rsidRPr="00AB7583">
        <w:rPr>
          <w:rFonts w:ascii="仿宋_GB2312" w:eastAsia="仿宋_GB2312" w:hAnsi="Times New Roman" w:cs="Times New Roman" w:hint="eastAsia"/>
          <w:color w:val="000000"/>
          <w:kern w:val="0"/>
          <w:sz w:val="32"/>
          <w:szCs w:val="32"/>
        </w:rPr>
        <w:t>随着社会老龄化</w:t>
      </w:r>
      <w:r w:rsidR="00EB76D0" w:rsidRPr="00AB7583">
        <w:rPr>
          <w:rFonts w:ascii="仿宋_GB2312" w:eastAsia="仿宋_GB2312" w:hAnsi="Times New Roman" w:cs="Times New Roman" w:hint="eastAsia"/>
          <w:color w:val="000000"/>
          <w:kern w:val="0"/>
          <w:sz w:val="32"/>
          <w:szCs w:val="32"/>
        </w:rPr>
        <w:t>程度加深，慢性淋巴细胞白血病</w:t>
      </w:r>
      <w:r w:rsidR="00663D0A" w:rsidRPr="00AB7583">
        <w:rPr>
          <w:rFonts w:ascii="仿宋_GB2312" w:eastAsia="仿宋_GB2312" w:hAnsi="Times New Roman" w:cs="Times New Roman" w:hint="eastAsia"/>
          <w:color w:val="000000"/>
          <w:kern w:val="0"/>
          <w:sz w:val="32"/>
          <w:szCs w:val="32"/>
        </w:rPr>
        <w:t>的</w:t>
      </w:r>
      <w:r w:rsidR="004A41E4" w:rsidRPr="00AB7583">
        <w:rPr>
          <w:rFonts w:ascii="仿宋_GB2312" w:eastAsia="仿宋_GB2312" w:hAnsi="Times New Roman" w:cs="Times New Roman" w:hint="eastAsia"/>
          <w:color w:val="000000"/>
          <w:kern w:val="0"/>
          <w:sz w:val="32"/>
          <w:szCs w:val="32"/>
        </w:rPr>
        <w:t>发病率呈</w:t>
      </w:r>
      <w:r w:rsidR="00EB76D0" w:rsidRPr="00AB7583">
        <w:rPr>
          <w:rFonts w:ascii="仿宋_GB2312" w:eastAsia="仿宋_GB2312" w:hAnsi="Times New Roman" w:cs="Times New Roman" w:hint="eastAsia"/>
          <w:color w:val="000000"/>
          <w:kern w:val="0"/>
          <w:sz w:val="32"/>
          <w:szCs w:val="32"/>
        </w:rPr>
        <w:t>增高趋势</w:t>
      </w:r>
      <w:r w:rsidR="00316361" w:rsidRPr="00AB7583">
        <w:rPr>
          <w:rFonts w:ascii="仿宋_GB2312" w:eastAsia="仿宋_GB2312" w:hAnsi="Times New Roman" w:cs="Times New Roman" w:hint="eastAsia"/>
          <w:color w:val="000000"/>
          <w:kern w:val="0"/>
          <w:sz w:val="32"/>
          <w:szCs w:val="32"/>
        </w:rPr>
        <w:t>。</w:t>
      </w:r>
      <w:r w:rsidR="00D34D42" w:rsidRPr="00AB7583">
        <w:rPr>
          <w:rFonts w:ascii="仿宋_GB2312" w:eastAsia="仿宋_GB2312" w:hAnsi="Times New Roman" w:cs="Times New Roman" w:hint="eastAsia"/>
          <w:color w:val="000000"/>
          <w:kern w:val="0"/>
          <w:sz w:val="32"/>
          <w:szCs w:val="32"/>
        </w:rPr>
        <w:t>CLL患者的中位生存期可达1</w:t>
      </w:r>
      <w:r w:rsidR="00D34D42" w:rsidRPr="00AB7583">
        <w:rPr>
          <w:rFonts w:ascii="仿宋_GB2312" w:eastAsia="仿宋_GB2312" w:hAnsi="Times New Roman" w:cs="Times New Roman"/>
          <w:color w:val="000000"/>
          <w:kern w:val="0"/>
          <w:sz w:val="32"/>
          <w:szCs w:val="32"/>
        </w:rPr>
        <w:t>0</w:t>
      </w:r>
      <w:r w:rsidR="004A41E4" w:rsidRPr="00AB7583">
        <w:rPr>
          <w:rFonts w:ascii="仿宋_GB2312" w:eastAsia="仿宋_GB2312" w:hAnsi="Times New Roman" w:cs="Times New Roman" w:hint="eastAsia"/>
          <w:color w:val="000000"/>
          <w:kern w:val="0"/>
          <w:sz w:val="32"/>
          <w:szCs w:val="32"/>
        </w:rPr>
        <w:t>年，但</w:t>
      </w:r>
      <w:r w:rsidR="00D34D42" w:rsidRPr="00AB7583">
        <w:rPr>
          <w:rFonts w:ascii="仿宋_GB2312" w:eastAsia="仿宋_GB2312" w:hAnsi="Times New Roman" w:cs="Times New Roman" w:hint="eastAsia"/>
          <w:color w:val="000000"/>
          <w:kern w:val="0"/>
          <w:sz w:val="32"/>
          <w:szCs w:val="32"/>
        </w:rPr>
        <w:t>不同患者的预后具有高度异质性，其相对隐匿和惰性的疾病特征使得治疗时机非常重要；与此同时，该疾病高发于老年人群，</w:t>
      </w:r>
      <w:r w:rsidR="002A5B4C" w:rsidRPr="00AB7583">
        <w:rPr>
          <w:rFonts w:ascii="仿宋_GB2312" w:eastAsia="仿宋_GB2312" w:hAnsi="Times New Roman" w:cs="Times New Roman" w:hint="eastAsia"/>
          <w:color w:val="000000"/>
          <w:kern w:val="0"/>
          <w:sz w:val="32"/>
          <w:szCs w:val="32"/>
        </w:rPr>
        <w:t>又</w:t>
      </w:r>
      <w:r w:rsidR="00D34D42" w:rsidRPr="00AB7583">
        <w:rPr>
          <w:rFonts w:ascii="仿宋_GB2312" w:eastAsia="仿宋_GB2312" w:hAnsi="Times New Roman" w:cs="Times New Roman" w:hint="eastAsia"/>
          <w:color w:val="000000"/>
          <w:kern w:val="0"/>
          <w:sz w:val="32"/>
          <w:szCs w:val="32"/>
        </w:rPr>
        <w:t>进一步增加了治疗</w:t>
      </w:r>
      <w:r w:rsidR="005F7DD8" w:rsidRPr="00AB7583">
        <w:rPr>
          <w:rFonts w:ascii="仿宋_GB2312" w:eastAsia="仿宋_GB2312" w:hAnsi="Times New Roman" w:cs="Times New Roman" w:hint="eastAsia"/>
          <w:color w:val="000000"/>
          <w:kern w:val="0"/>
          <w:sz w:val="32"/>
          <w:szCs w:val="32"/>
        </w:rPr>
        <w:t>方案选择</w:t>
      </w:r>
      <w:r w:rsidR="00D34D42" w:rsidRPr="00AB7583">
        <w:rPr>
          <w:rFonts w:ascii="仿宋_GB2312" w:eastAsia="仿宋_GB2312" w:hAnsi="Times New Roman" w:cs="Times New Roman" w:hint="eastAsia"/>
          <w:color w:val="000000"/>
          <w:kern w:val="0"/>
          <w:sz w:val="32"/>
          <w:szCs w:val="32"/>
        </w:rPr>
        <w:t>的</w:t>
      </w:r>
      <w:r w:rsidR="00D97AAE" w:rsidRPr="00AB7583">
        <w:rPr>
          <w:rFonts w:ascii="仿宋_GB2312" w:eastAsia="仿宋_GB2312" w:hAnsi="Times New Roman" w:cs="Times New Roman" w:hint="eastAsia"/>
          <w:color w:val="000000"/>
          <w:kern w:val="0"/>
          <w:sz w:val="32"/>
          <w:szCs w:val="32"/>
        </w:rPr>
        <w:t>复杂性</w:t>
      </w:r>
      <w:r w:rsidR="00440445" w:rsidRPr="00EC073B">
        <w:rPr>
          <w:rFonts w:ascii="仿宋_GB2312" w:eastAsia="仿宋_GB2312" w:hAnsi="Times New Roman" w:cs="Times New Roman"/>
          <w:color w:val="000000"/>
          <w:kern w:val="0"/>
          <w:sz w:val="32"/>
          <w:szCs w:val="32"/>
          <w:vertAlign w:val="superscript"/>
        </w:rPr>
        <w:t>[</w:t>
      </w:r>
      <w:r w:rsidR="00027D36" w:rsidRPr="00EC073B">
        <w:rPr>
          <w:rFonts w:ascii="仿宋_GB2312" w:eastAsia="仿宋_GB2312" w:hAnsi="Times New Roman" w:cs="Times New Roman"/>
          <w:color w:val="000000"/>
          <w:kern w:val="0"/>
          <w:sz w:val="32"/>
          <w:szCs w:val="32"/>
          <w:vertAlign w:val="superscript"/>
        </w:rPr>
        <w:t>3</w:t>
      </w:r>
      <w:r w:rsidR="00440445" w:rsidRPr="00EC073B">
        <w:rPr>
          <w:rFonts w:ascii="仿宋_GB2312" w:eastAsia="仿宋_GB2312" w:hAnsi="Times New Roman" w:cs="Times New Roman"/>
          <w:color w:val="000000"/>
          <w:kern w:val="0"/>
          <w:sz w:val="32"/>
          <w:szCs w:val="32"/>
          <w:vertAlign w:val="superscript"/>
        </w:rPr>
        <w:t>]</w:t>
      </w:r>
      <w:r w:rsidR="00D97AAE" w:rsidRPr="00AB7583">
        <w:rPr>
          <w:rFonts w:ascii="仿宋_GB2312" w:eastAsia="仿宋_GB2312" w:hAnsi="Times New Roman" w:cs="Times New Roman" w:hint="eastAsia"/>
          <w:color w:val="000000"/>
          <w:kern w:val="0"/>
          <w:sz w:val="32"/>
          <w:szCs w:val="32"/>
        </w:rPr>
        <w:t>。在过去的</w:t>
      </w:r>
      <w:r w:rsidR="001E6202" w:rsidRPr="00AB7583">
        <w:rPr>
          <w:rFonts w:ascii="仿宋_GB2312" w:eastAsia="仿宋_GB2312" w:hAnsi="Times New Roman" w:cs="Times New Roman" w:hint="eastAsia"/>
          <w:color w:val="000000"/>
          <w:kern w:val="0"/>
          <w:sz w:val="32"/>
          <w:szCs w:val="32"/>
        </w:rPr>
        <w:t>2</w:t>
      </w:r>
      <w:r w:rsidR="001E6202" w:rsidRPr="00AB7583">
        <w:rPr>
          <w:rFonts w:ascii="仿宋_GB2312" w:eastAsia="仿宋_GB2312" w:hAnsi="Times New Roman" w:cs="Times New Roman"/>
          <w:color w:val="000000"/>
          <w:kern w:val="0"/>
          <w:sz w:val="32"/>
          <w:szCs w:val="32"/>
        </w:rPr>
        <w:t>0</w:t>
      </w:r>
      <w:r w:rsidR="001E6202" w:rsidRPr="00AB7583">
        <w:rPr>
          <w:rFonts w:ascii="仿宋_GB2312" w:eastAsia="仿宋_GB2312" w:hAnsi="Times New Roman" w:cs="Times New Roman" w:hint="eastAsia"/>
          <w:color w:val="000000"/>
          <w:kern w:val="0"/>
          <w:sz w:val="32"/>
          <w:szCs w:val="32"/>
        </w:rPr>
        <w:t>年里，CLL的治疗选择不断增加，从</w:t>
      </w:r>
      <w:r w:rsidR="001217B8" w:rsidRPr="00AB7583">
        <w:rPr>
          <w:rFonts w:ascii="仿宋_GB2312" w:eastAsia="仿宋_GB2312" w:hAnsi="Times New Roman" w:cs="Times New Roman" w:hint="eastAsia"/>
          <w:color w:val="000000"/>
          <w:kern w:val="0"/>
          <w:sz w:val="32"/>
          <w:szCs w:val="32"/>
        </w:rPr>
        <w:t>最初的</w:t>
      </w:r>
      <w:r w:rsidR="001E6202" w:rsidRPr="00AB7583">
        <w:rPr>
          <w:rFonts w:ascii="仿宋_GB2312" w:eastAsia="仿宋_GB2312" w:hAnsi="Times New Roman" w:cs="Times New Roman" w:hint="eastAsia"/>
          <w:color w:val="000000"/>
          <w:kern w:val="0"/>
          <w:sz w:val="32"/>
          <w:szCs w:val="32"/>
        </w:rPr>
        <w:t>单纯</w:t>
      </w:r>
      <w:r w:rsidR="001217B8" w:rsidRPr="00AB7583">
        <w:rPr>
          <w:rFonts w:ascii="仿宋_GB2312" w:eastAsia="仿宋_GB2312" w:hAnsi="Times New Roman" w:cs="Times New Roman" w:hint="eastAsia"/>
          <w:color w:val="000000"/>
          <w:kern w:val="0"/>
          <w:sz w:val="32"/>
          <w:szCs w:val="32"/>
        </w:rPr>
        <w:t>化疗为主进入</w:t>
      </w:r>
      <w:r w:rsidR="001E6202" w:rsidRPr="00AB7583">
        <w:rPr>
          <w:rFonts w:ascii="仿宋_GB2312" w:eastAsia="仿宋_GB2312" w:hAnsi="Times New Roman" w:cs="Times New Roman" w:hint="eastAsia"/>
          <w:color w:val="000000"/>
          <w:kern w:val="0"/>
          <w:sz w:val="32"/>
          <w:szCs w:val="32"/>
        </w:rPr>
        <w:t>免疫化疗时代，近几年</w:t>
      </w:r>
      <w:r w:rsidR="001217B8" w:rsidRPr="00AB7583">
        <w:rPr>
          <w:rFonts w:ascii="仿宋_GB2312" w:eastAsia="仿宋_GB2312" w:hAnsi="Times New Roman" w:cs="Times New Roman" w:hint="eastAsia"/>
          <w:color w:val="000000"/>
          <w:kern w:val="0"/>
          <w:sz w:val="32"/>
          <w:szCs w:val="32"/>
        </w:rPr>
        <w:t>更是</w:t>
      </w:r>
      <w:r w:rsidR="001E6202" w:rsidRPr="00AB7583">
        <w:rPr>
          <w:rFonts w:ascii="仿宋_GB2312" w:eastAsia="仿宋_GB2312" w:hAnsi="Times New Roman" w:cs="Times New Roman" w:hint="eastAsia"/>
          <w:color w:val="000000"/>
          <w:kern w:val="0"/>
          <w:sz w:val="32"/>
          <w:szCs w:val="32"/>
        </w:rPr>
        <w:t>随着各种</w:t>
      </w:r>
      <w:r w:rsidR="00104ADA" w:rsidRPr="00AB7583">
        <w:rPr>
          <w:rFonts w:ascii="仿宋_GB2312" w:eastAsia="仿宋_GB2312" w:hAnsi="Times New Roman" w:cs="Times New Roman" w:hint="eastAsia"/>
          <w:color w:val="000000"/>
          <w:kern w:val="0"/>
          <w:sz w:val="32"/>
          <w:szCs w:val="32"/>
        </w:rPr>
        <w:t>低毒的</w:t>
      </w:r>
      <w:r w:rsidR="00381D1E" w:rsidRPr="00AB7583">
        <w:rPr>
          <w:rFonts w:ascii="仿宋_GB2312" w:eastAsia="仿宋_GB2312" w:hAnsi="Times New Roman" w:cs="Times New Roman" w:hint="eastAsia"/>
          <w:color w:val="000000"/>
          <w:kern w:val="0"/>
          <w:sz w:val="32"/>
          <w:szCs w:val="32"/>
        </w:rPr>
        <w:t>小分子口服靶</w:t>
      </w:r>
      <w:proofErr w:type="gramStart"/>
      <w:r w:rsidR="00381D1E" w:rsidRPr="00AB7583">
        <w:rPr>
          <w:rFonts w:ascii="仿宋_GB2312" w:eastAsia="仿宋_GB2312" w:hAnsi="Times New Roman" w:cs="Times New Roman" w:hint="eastAsia"/>
          <w:color w:val="000000"/>
          <w:kern w:val="0"/>
          <w:sz w:val="32"/>
          <w:szCs w:val="32"/>
        </w:rPr>
        <w:t>向药物</w:t>
      </w:r>
      <w:proofErr w:type="gramEnd"/>
      <w:r w:rsidR="001E6202" w:rsidRPr="00AB7583">
        <w:rPr>
          <w:rFonts w:ascii="仿宋_GB2312" w:eastAsia="仿宋_GB2312" w:hAnsi="Times New Roman" w:cs="Times New Roman" w:hint="eastAsia"/>
          <w:color w:val="000000"/>
          <w:kern w:val="0"/>
          <w:sz w:val="32"/>
          <w:szCs w:val="32"/>
        </w:rPr>
        <w:t>不断出现，去化疗方案</w:t>
      </w:r>
      <w:r w:rsidR="001217B8" w:rsidRPr="00AB7583">
        <w:rPr>
          <w:rFonts w:ascii="仿宋_GB2312" w:eastAsia="仿宋_GB2312" w:hAnsi="Times New Roman" w:cs="Times New Roman" w:hint="eastAsia"/>
          <w:color w:val="000000"/>
          <w:kern w:val="0"/>
          <w:sz w:val="32"/>
          <w:szCs w:val="32"/>
        </w:rPr>
        <w:t>逐渐成为优选</w:t>
      </w:r>
      <w:r w:rsidR="00104ADA" w:rsidRPr="00AB7583">
        <w:rPr>
          <w:rFonts w:ascii="仿宋_GB2312" w:eastAsia="仿宋_GB2312" w:hAnsi="Times New Roman" w:cs="Times New Roman" w:hint="eastAsia"/>
          <w:color w:val="000000"/>
          <w:kern w:val="0"/>
          <w:sz w:val="32"/>
          <w:szCs w:val="32"/>
        </w:rPr>
        <w:t>方案</w:t>
      </w:r>
      <w:r w:rsidR="001217B8" w:rsidRPr="00AB7583">
        <w:rPr>
          <w:rFonts w:ascii="仿宋_GB2312" w:eastAsia="仿宋_GB2312" w:hAnsi="Times New Roman" w:cs="Times New Roman" w:hint="eastAsia"/>
          <w:color w:val="000000"/>
          <w:kern w:val="0"/>
          <w:sz w:val="32"/>
          <w:szCs w:val="32"/>
        </w:rPr>
        <w:t>。</w:t>
      </w:r>
      <w:r w:rsidR="00872149" w:rsidRPr="00AB7583">
        <w:rPr>
          <w:rFonts w:ascii="仿宋_GB2312" w:eastAsia="仿宋_GB2312" w:hAnsi="Times New Roman" w:cs="Times New Roman" w:hint="eastAsia"/>
          <w:color w:val="000000"/>
          <w:kern w:val="0"/>
          <w:sz w:val="32"/>
          <w:szCs w:val="32"/>
        </w:rPr>
        <w:t>选择</w:t>
      </w:r>
      <w:r w:rsidR="00396FA2" w:rsidRPr="00AB7583">
        <w:rPr>
          <w:rFonts w:ascii="仿宋_GB2312" w:eastAsia="仿宋_GB2312" w:hAnsi="Times New Roman" w:cs="Times New Roman" w:hint="eastAsia"/>
          <w:color w:val="000000"/>
          <w:kern w:val="0"/>
          <w:sz w:val="32"/>
          <w:szCs w:val="32"/>
        </w:rPr>
        <w:t>CLL</w:t>
      </w:r>
      <w:r w:rsidR="00872149" w:rsidRPr="00AB7583">
        <w:rPr>
          <w:rFonts w:ascii="仿宋_GB2312" w:eastAsia="仿宋_GB2312" w:hAnsi="Times New Roman" w:cs="Times New Roman" w:hint="eastAsia"/>
          <w:color w:val="000000"/>
          <w:kern w:val="0"/>
          <w:sz w:val="32"/>
          <w:szCs w:val="32"/>
        </w:rPr>
        <w:t>治疗方案时，患者的</w:t>
      </w:r>
      <w:r w:rsidR="00B13C6B" w:rsidRPr="00AB7583">
        <w:rPr>
          <w:rFonts w:ascii="仿宋_GB2312" w:eastAsia="仿宋_GB2312" w:hAnsi="Times New Roman" w:cs="Times New Roman" w:hint="eastAsia"/>
          <w:color w:val="000000"/>
          <w:kern w:val="0"/>
          <w:sz w:val="32"/>
          <w:szCs w:val="32"/>
        </w:rPr>
        <w:t>基础条件、</w:t>
      </w:r>
      <w:r w:rsidR="00872149" w:rsidRPr="00AB7583">
        <w:rPr>
          <w:rFonts w:ascii="仿宋_GB2312" w:eastAsia="仿宋_GB2312" w:hAnsi="Times New Roman" w:cs="Times New Roman" w:hint="eastAsia"/>
          <w:color w:val="000000"/>
          <w:kern w:val="0"/>
          <w:sz w:val="32"/>
          <w:szCs w:val="32"/>
        </w:rPr>
        <w:t>耐受性</w:t>
      </w:r>
      <w:r w:rsidR="00B13C6B" w:rsidRPr="00AB7583">
        <w:rPr>
          <w:rFonts w:ascii="仿宋_GB2312" w:eastAsia="仿宋_GB2312" w:hAnsi="Times New Roman" w:cs="Times New Roman" w:hint="eastAsia"/>
          <w:color w:val="000000"/>
          <w:kern w:val="0"/>
          <w:sz w:val="32"/>
          <w:szCs w:val="32"/>
        </w:rPr>
        <w:t>和</w:t>
      </w:r>
      <w:r w:rsidR="00872149" w:rsidRPr="00AB7583">
        <w:rPr>
          <w:rFonts w:ascii="仿宋_GB2312" w:eastAsia="仿宋_GB2312" w:hAnsi="Times New Roman" w:cs="Times New Roman" w:hint="eastAsia"/>
          <w:color w:val="000000"/>
          <w:kern w:val="0"/>
          <w:sz w:val="32"/>
          <w:szCs w:val="32"/>
        </w:rPr>
        <w:t>治疗意向</w:t>
      </w:r>
      <w:r w:rsidR="00B13C6B" w:rsidRPr="00AB7583">
        <w:rPr>
          <w:rFonts w:ascii="仿宋_GB2312" w:eastAsia="仿宋_GB2312" w:hAnsi="Times New Roman" w:cs="Times New Roman" w:hint="eastAsia"/>
          <w:color w:val="000000"/>
          <w:kern w:val="0"/>
          <w:sz w:val="32"/>
          <w:szCs w:val="32"/>
        </w:rPr>
        <w:t>会对可实现的治疗目标</w:t>
      </w:r>
      <w:r w:rsidR="002F6EBC" w:rsidRPr="00AB7583">
        <w:rPr>
          <w:rFonts w:ascii="仿宋_GB2312" w:eastAsia="仿宋_GB2312" w:hAnsi="Times New Roman" w:cs="Times New Roman" w:hint="eastAsia"/>
          <w:color w:val="000000"/>
          <w:kern w:val="0"/>
          <w:sz w:val="32"/>
          <w:szCs w:val="32"/>
        </w:rPr>
        <w:t>产生</w:t>
      </w:r>
      <w:r w:rsidR="00B13C6B" w:rsidRPr="00AB7583">
        <w:rPr>
          <w:rFonts w:ascii="仿宋_GB2312" w:eastAsia="仿宋_GB2312" w:hAnsi="Times New Roman" w:cs="Times New Roman" w:hint="eastAsia"/>
          <w:color w:val="000000"/>
          <w:kern w:val="0"/>
          <w:sz w:val="32"/>
          <w:szCs w:val="32"/>
        </w:rPr>
        <w:t>非常大的影响，也给新药研发过程中临床试验的设计和执行带来挑战。</w:t>
      </w:r>
      <w:r w:rsidR="00436295" w:rsidRPr="00AB7583">
        <w:rPr>
          <w:rFonts w:ascii="仿宋_GB2312" w:eastAsia="仿宋_GB2312" w:hAnsi="Times New Roman" w:cs="Times New Roman" w:hint="eastAsia"/>
          <w:color w:val="000000"/>
          <w:kern w:val="0"/>
          <w:sz w:val="32"/>
          <w:szCs w:val="32"/>
        </w:rPr>
        <w:t>针对</w:t>
      </w:r>
      <w:r w:rsidR="00DC1425" w:rsidRPr="00AB7583">
        <w:rPr>
          <w:rFonts w:ascii="仿宋_GB2312" w:eastAsia="仿宋_GB2312" w:hAnsi="Times New Roman" w:cs="Times New Roman" w:hint="eastAsia"/>
          <w:color w:val="000000"/>
          <w:kern w:val="0"/>
          <w:sz w:val="32"/>
          <w:szCs w:val="32"/>
        </w:rPr>
        <w:t>疾病进展呈现惰性特征，</w:t>
      </w:r>
      <w:r w:rsidR="008975A2" w:rsidRPr="00AB7583">
        <w:rPr>
          <w:rFonts w:ascii="仿宋_GB2312" w:eastAsia="仿宋_GB2312" w:hAnsi="Times New Roman" w:cs="Times New Roman" w:hint="eastAsia"/>
          <w:color w:val="000000"/>
          <w:kern w:val="0"/>
          <w:sz w:val="32"/>
          <w:szCs w:val="32"/>
        </w:rPr>
        <w:t>高发于耐受性相对较差、合并症较多的老年</w:t>
      </w:r>
      <w:r w:rsidR="00436295" w:rsidRPr="00AB7583">
        <w:rPr>
          <w:rFonts w:ascii="仿宋_GB2312" w:eastAsia="仿宋_GB2312" w:hAnsi="Times New Roman" w:cs="Times New Roman" w:hint="eastAsia"/>
          <w:color w:val="000000"/>
          <w:kern w:val="0"/>
          <w:sz w:val="32"/>
          <w:szCs w:val="32"/>
        </w:rPr>
        <w:t>人</w:t>
      </w:r>
      <w:r w:rsidR="008975A2" w:rsidRPr="00AB7583">
        <w:rPr>
          <w:rFonts w:ascii="仿宋_GB2312" w:eastAsia="仿宋_GB2312" w:hAnsi="Times New Roman" w:cs="Times New Roman" w:hint="eastAsia"/>
          <w:color w:val="000000"/>
          <w:kern w:val="0"/>
          <w:sz w:val="32"/>
          <w:szCs w:val="32"/>
        </w:rPr>
        <w:t>的</w:t>
      </w:r>
      <w:r w:rsidR="00436295" w:rsidRPr="00AB7583">
        <w:rPr>
          <w:rFonts w:ascii="仿宋_GB2312" w:eastAsia="仿宋_GB2312" w:hAnsi="Times New Roman" w:cs="Times New Roman" w:hint="eastAsia"/>
          <w:color w:val="000000"/>
          <w:kern w:val="0"/>
          <w:sz w:val="32"/>
          <w:szCs w:val="32"/>
        </w:rPr>
        <w:t>CLL，</w:t>
      </w:r>
      <w:r w:rsidR="00436295" w:rsidRPr="00AB7583">
        <w:rPr>
          <w:rFonts w:ascii="仿宋_GB2312" w:eastAsia="仿宋_GB2312" w:hAnsi="Times New Roman" w:cs="Times New Roman"/>
          <w:color w:val="000000"/>
          <w:kern w:val="0"/>
          <w:sz w:val="32"/>
          <w:szCs w:val="32"/>
        </w:rPr>
        <w:t>如何在疾病</w:t>
      </w:r>
      <w:r w:rsidR="00436295" w:rsidRPr="00AB7583">
        <w:rPr>
          <w:rFonts w:ascii="仿宋_GB2312" w:eastAsia="仿宋_GB2312" w:hAnsi="Times New Roman" w:cs="Times New Roman" w:hint="eastAsia"/>
          <w:color w:val="000000"/>
          <w:kern w:val="0"/>
          <w:sz w:val="32"/>
          <w:szCs w:val="32"/>
        </w:rPr>
        <w:t>管理过程中</w:t>
      </w:r>
      <w:r w:rsidR="008975A2" w:rsidRPr="00AB7583">
        <w:rPr>
          <w:rFonts w:ascii="仿宋_GB2312" w:eastAsia="仿宋_GB2312" w:hAnsi="Times New Roman" w:cs="Times New Roman" w:hint="eastAsia"/>
          <w:color w:val="000000"/>
          <w:kern w:val="0"/>
          <w:sz w:val="32"/>
          <w:szCs w:val="32"/>
        </w:rPr>
        <w:t>实现</w:t>
      </w:r>
      <w:r w:rsidR="00396FA2" w:rsidRPr="00AB7583">
        <w:rPr>
          <w:rFonts w:ascii="仿宋_GB2312" w:eastAsia="仿宋_GB2312" w:hAnsi="Times New Roman" w:cs="Times New Roman" w:hint="eastAsia"/>
          <w:color w:val="000000"/>
          <w:kern w:val="0"/>
          <w:sz w:val="32"/>
          <w:szCs w:val="32"/>
        </w:rPr>
        <w:t>改善患者生活质量</w:t>
      </w:r>
      <w:r w:rsidR="00B13C6B" w:rsidRPr="00AB7583">
        <w:rPr>
          <w:rFonts w:ascii="仿宋_GB2312" w:eastAsia="仿宋_GB2312" w:hAnsi="Times New Roman" w:cs="Times New Roman" w:hint="eastAsia"/>
          <w:color w:val="000000"/>
          <w:kern w:val="0"/>
          <w:sz w:val="32"/>
          <w:szCs w:val="32"/>
        </w:rPr>
        <w:t>与传统抗肿瘤治疗理念之间</w:t>
      </w:r>
      <w:r w:rsidR="008975A2" w:rsidRPr="00AB7583">
        <w:rPr>
          <w:rFonts w:ascii="仿宋_GB2312" w:eastAsia="仿宋_GB2312" w:hAnsi="Times New Roman" w:cs="Times New Roman" w:hint="eastAsia"/>
          <w:color w:val="000000"/>
          <w:kern w:val="0"/>
          <w:sz w:val="32"/>
          <w:szCs w:val="32"/>
        </w:rPr>
        <w:t>的</w:t>
      </w:r>
      <w:r w:rsidR="00B13C6B" w:rsidRPr="00AB7583">
        <w:rPr>
          <w:rFonts w:ascii="仿宋_GB2312" w:eastAsia="仿宋_GB2312" w:hAnsi="Times New Roman" w:cs="Times New Roman" w:hint="eastAsia"/>
          <w:color w:val="000000"/>
          <w:kern w:val="0"/>
          <w:sz w:val="32"/>
          <w:szCs w:val="32"/>
        </w:rPr>
        <w:t>平衡，</w:t>
      </w:r>
      <w:r w:rsidR="00396FA2" w:rsidRPr="00AB7583">
        <w:rPr>
          <w:rFonts w:ascii="仿宋_GB2312" w:eastAsia="仿宋_GB2312" w:hAnsi="Times New Roman" w:cs="Times New Roman" w:hint="eastAsia"/>
          <w:color w:val="000000"/>
          <w:kern w:val="0"/>
          <w:sz w:val="32"/>
          <w:szCs w:val="32"/>
        </w:rPr>
        <w:t>是</w:t>
      </w:r>
      <w:r w:rsidR="00B13C6B" w:rsidRPr="00AB7583">
        <w:rPr>
          <w:rFonts w:ascii="仿宋_GB2312" w:eastAsia="仿宋_GB2312" w:hAnsi="Times New Roman" w:cs="Times New Roman" w:hint="eastAsia"/>
          <w:color w:val="000000"/>
          <w:kern w:val="0"/>
          <w:sz w:val="32"/>
          <w:szCs w:val="32"/>
        </w:rPr>
        <w:t>新药研发</w:t>
      </w:r>
      <w:r w:rsidR="00396FA2" w:rsidRPr="00AB7583">
        <w:rPr>
          <w:rFonts w:ascii="仿宋_GB2312" w:eastAsia="仿宋_GB2312" w:hAnsi="Times New Roman" w:cs="Times New Roman" w:hint="eastAsia"/>
          <w:color w:val="000000"/>
          <w:kern w:val="0"/>
          <w:sz w:val="32"/>
          <w:szCs w:val="32"/>
        </w:rPr>
        <w:t>中必须关注的问题</w:t>
      </w:r>
      <w:r w:rsidR="00196BBB" w:rsidRPr="00AB7583">
        <w:rPr>
          <w:rFonts w:ascii="仿宋_GB2312" w:eastAsia="仿宋_GB2312" w:hAnsi="Times New Roman" w:cs="Times New Roman" w:hint="eastAsia"/>
          <w:color w:val="000000"/>
          <w:kern w:val="0"/>
          <w:sz w:val="32"/>
          <w:szCs w:val="32"/>
        </w:rPr>
        <w:t>。本</w:t>
      </w:r>
      <w:r w:rsidR="000C25E3" w:rsidRPr="00AB7583">
        <w:rPr>
          <w:rFonts w:ascii="仿宋_GB2312" w:eastAsia="仿宋_GB2312" w:hAnsi="Times New Roman" w:cs="Times New Roman" w:hint="eastAsia"/>
          <w:color w:val="000000"/>
          <w:kern w:val="0"/>
          <w:sz w:val="32"/>
          <w:szCs w:val="32"/>
        </w:rPr>
        <w:t>技术</w:t>
      </w:r>
      <w:r w:rsidR="00196BBB" w:rsidRPr="00AB7583">
        <w:rPr>
          <w:rFonts w:ascii="仿宋_GB2312" w:eastAsia="仿宋_GB2312" w:hAnsi="Times New Roman" w:cs="Times New Roman" w:hint="eastAsia"/>
          <w:color w:val="000000"/>
          <w:kern w:val="0"/>
          <w:sz w:val="32"/>
          <w:szCs w:val="32"/>
        </w:rPr>
        <w:t>指导</w:t>
      </w:r>
      <w:r w:rsidR="00076D67" w:rsidRPr="00AB7583">
        <w:rPr>
          <w:rFonts w:ascii="仿宋_GB2312" w:eastAsia="仿宋_GB2312" w:hAnsi="Times New Roman" w:cs="Times New Roman" w:hint="eastAsia"/>
          <w:color w:val="000000"/>
          <w:kern w:val="0"/>
          <w:sz w:val="32"/>
          <w:szCs w:val="32"/>
        </w:rPr>
        <w:t>原则将立足于当前的临床实践，</w:t>
      </w:r>
      <w:r w:rsidR="000C25E3" w:rsidRPr="00AB7583">
        <w:rPr>
          <w:rFonts w:ascii="仿宋_GB2312" w:eastAsia="仿宋_GB2312" w:hAnsi="Times New Roman" w:cs="Times New Roman" w:hint="eastAsia"/>
          <w:color w:val="000000"/>
          <w:kern w:val="0"/>
          <w:sz w:val="32"/>
          <w:szCs w:val="32"/>
        </w:rPr>
        <w:t>结合近年来新药研发的经验和挑战，</w:t>
      </w:r>
      <w:r w:rsidR="00076D67" w:rsidRPr="00AB7583">
        <w:rPr>
          <w:rFonts w:ascii="仿宋_GB2312" w:eastAsia="仿宋_GB2312" w:hAnsi="Times New Roman" w:cs="Times New Roman" w:hint="eastAsia"/>
          <w:color w:val="000000"/>
          <w:kern w:val="0"/>
          <w:sz w:val="32"/>
          <w:szCs w:val="32"/>
        </w:rPr>
        <w:t>就CLL新药临床研</w:t>
      </w:r>
      <w:r w:rsidR="00076D67" w:rsidRPr="00AB7583">
        <w:rPr>
          <w:rFonts w:ascii="仿宋_GB2312" w:eastAsia="仿宋_GB2312" w:hAnsi="Times New Roman" w:cs="Times New Roman" w:hint="eastAsia"/>
          <w:color w:val="000000"/>
          <w:kern w:val="0"/>
          <w:sz w:val="32"/>
          <w:szCs w:val="32"/>
        </w:rPr>
        <w:lastRenderedPageBreak/>
        <w:t>究如何在设计和执行过程中充分考虑疾病特征</w:t>
      </w:r>
      <w:r w:rsidR="000C25E3" w:rsidRPr="00AB7583">
        <w:rPr>
          <w:rFonts w:ascii="仿宋_GB2312" w:eastAsia="仿宋_GB2312" w:hAnsi="Times New Roman" w:cs="Times New Roman" w:hint="eastAsia"/>
          <w:color w:val="000000"/>
          <w:kern w:val="0"/>
          <w:sz w:val="32"/>
          <w:szCs w:val="32"/>
        </w:rPr>
        <w:t>和患者需求提出观点。</w:t>
      </w:r>
    </w:p>
    <w:p w:rsidR="00AB35A9" w:rsidRPr="00AB7583" w:rsidRDefault="00AB35A9" w:rsidP="000C25E3">
      <w:pPr>
        <w:spacing w:line="360" w:lineRule="auto"/>
        <w:ind w:firstLineChars="200" w:firstLine="640"/>
        <w:rPr>
          <w:rFonts w:ascii="仿宋_GB2312" w:eastAsia="仿宋_GB2312" w:hAnsi="Times New Roman" w:cs="Times New Roman"/>
          <w:color w:val="000000"/>
          <w:kern w:val="0"/>
          <w:sz w:val="32"/>
          <w:szCs w:val="32"/>
        </w:rPr>
      </w:pPr>
      <w:r w:rsidRPr="00AB7583">
        <w:rPr>
          <w:rFonts w:ascii="仿宋_GB2312" w:eastAsia="仿宋_GB2312" w:hAnsi="Times New Roman" w:cs="Times New Roman" w:hint="eastAsia"/>
          <w:color w:val="000000"/>
          <w:kern w:val="0"/>
          <w:sz w:val="32"/>
          <w:szCs w:val="32"/>
        </w:rPr>
        <w:t>小淋巴细胞淋巴瘤（Small</w:t>
      </w:r>
      <w:r w:rsidR="00C0146B" w:rsidRPr="00AB7583">
        <w:rPr>
          <w:rFonts w:ascii="仿宋_GB2312" w:eastAsia="仿宋_GB2312" w:hAnsi="Times New Roman" w:cs="Times New Roman" w:hint="eastAsia"/>
          <w:color w:val="000000"/>
          <w:kern w:val="0"/>
          <w:sz w:val="32"/>
          <w:szCs w:val="32"/>
        </w:rPr>
        <w:t xml:space="preserve"> </w:t>
      </w:r>
      <w:r w:rsidRPr="00AB7583">
        <w:rPr>
          <w:rFonts w:ascii="仿宋_GB2312" w:eastAsia="仿宋_GB2312" w:hAnsi="Times New Roman" w:cs="Times New Roman" w:hint="eastAsia"/>
          <w:color w:val="000000"/>
          <w:kern w:val="0"/>
          <w:sz w:val="32"/>
          <w:szCs w:val="32"/>
        </w:rPr>
        <w:t>lymphocytic</w:t>
      </w:r>
      <w:r w:rsidR="00C0146B" w:rsidRPr="00AB7583">
        <w:rPr>
          <w:rFonts w:ascii="仿宋_GB2312" w:eastAsia="仿宋_GB2312" w:hAnsi="Times New Roman" w:cs="Times New Roman" w:hint="eastAsia"/>
          <w:color w:val="000000"/>
          <w:kern w:val="0"/>
          <w:sz w:val="32"/>
          <w:szCs w:val="32"/>
        </w:rPr>
        <w:t xml:space="preserve"> </w:t>
      </w:r>
      <w:r w:rsidRPr="00AB7583">
        <w:rPr>
          <w:rFonts w:ascii="仿宋_GB2312" w:eastAsia="仿宋_GB2312" w:hAnsi="Times New Roman" w:cs="Times New Roman" w:hint="eastAsia"/>
          <w:color w:val="000000"/>
          <w:kern w:val="0"/>
          <w:sz w:val="32"/>
          <w:szCs w:val="32"/>
        </w:rPr>
        <w:t>leukemia，SLL）与CLL是同一疾病的不同表现，但确诊必须依赖病理组织学及免疫组化检查。</w:t>
      </w:r>
      <w:r w:rsidR="000E68AE" w:rsidRPr="00AB7583">
        <w:rPr>
          <w:rFonts w:ascii="仿宋_GB2312" w:eastAsia="仿宋_GB2312" w:hAnsi="Times New Roman" w:cs="Times New Roman" w:hint="eastAsia"/>
          <w:color w:val="000000"/>
          <w:kern w:val="0"/>
          <w:sz w:val="32"/>
          <w:szCs w:val="32"/>
        </w:rPr>
        <w:t>除</w:t>
      </w:r>
      <w:r w:rsidRPr="00AB7583">
        <w:rPr>
          <w:rFonts w:ascii="仿宋_GB2312" w:eastAsia="仿宋_GB2312" w:hAnsi="Times New Roman" w:cs="Times New Roman" w:hint="eastAsia"/>
          <w:color w:val="000000"/>
          <w:kern w:val="0"/>
          <w:sz w:val="32"/>
          <w:szCs w:val="32"/>
        </w:rPr>
        <w:t>LuganoⅠ期SLL</w:t>
      </w:r>
      <w:r w:rsidR="000E68AE" w:rsidRPr="00AB7583">
        <w:rPr>
          <w:rFonts w:ascii="仿宋_GB2312" w:eastAsia="仿宋_GB2312" w:hAnsi="Times New Roman" w:cs="Times New Roman" w:hint="eastAsia"/>
          <w:color w:val="000000"/>
          <w:kern w:val="0"/>
          <w:sz w:val="32"/>
          <w:szCs w:val="32"/>
        </w:rPr>
        <w:t>采用局部放疗外</w:t>
      </w:r>
      <w:r w:rsidRPr="00AB7583">
        <w:rPr>
          <w:rFonts w:ascii="仿宋_GB2312" w:eastAsia="仿宋_GB2312" w:hAnsi="Times New Roman" w:cs="Times New Roman" w:hint="eastAsia"/>
          <w:color w:val="000000"/>
          <w:kern w:val="0"/>
          <w:sz w:val="32"/>
          <w:szCs w:val="32"/>
        </w:rPr>
        <w:t>，其他治疗指征和治疗选择</w:t>
      </w:r>
      <w:r w:rsidR="000E68AE" w:rsidRPr="00AB7583">
        <w:rPr>
          <w:rFonts w:ascii="仿宋_GB2312" w:eastAsia="仿宋_GB2312" w:hAnsi="Times New Roman" w:cs="Times New Roman" w:hint="eastAsia"/>
          <w:color w:val="000000"/>
          <w:kern w:val="0"/>
          <w:sz w:val="32"/>
          <w:szCs w:val="32"/>
        </w:rPr>
        <w:t>与</w:t>
      </w:r>
      <w:r w:rsidRPr="00AB7583">
        <w:rPr>
          <w:rFonts w:ascii="仿宋_GB2312" w:eastAsia="仿宋_GB2312" w:hAnsi="Times New Roman" w:cs="Times New Roman" w:hint="eastAsia"/>
          <w:color w:val="000000"/>
          <w:kern w:val="0"/>
          <w:sz w:val="32"/>
          <w:szCs w:val="32"/>
        </w:rPr>
        <w:t>CLL</w:t>
      </w:r>
      <w:r w:rsidR="000E68AE" w:rsidRPr="00AB7583">
        <w:rPr>
          <w:rFonts w:ascii="仿宋_GB2312" w:eastAsia="仿宋_GB2312" w:hAnsi="Times New Roman" w:cs="Times New Roman" w:hint="eastAsia"/>
          <w:color w:val="000000"/>
          <w:kern w:val="0"/>
          <w:sz w:val="32"/>
          <w:szCs w:val="32"/>
        </w:rPr>
        <w:t>相同</w:t>
      </w:r>
      <w:r w:rsidRPr="00AB7583">
        <w:rPr>
          <w:rFonts w:ascii="仿宋_GB2312" w:eastAsia="仿宋_GB2312" w:hAnsi="Times New Roman" w:cs="Times New Roman" w:hint="eastAsia"/>
          <w:color w:val="000000"/>
          <w:kern w:val="0"/>
          <w:sz w:val="32"/>
          <w:szCs w:val="32"/>
        </w:rPr>
        <w:t>。因此本</w:t>
      </w:r>
      <w:r w:rsidR="000C25E3" w:rsidRPr="00AB7583">
        <w:rPr>
          <w:rFonts w:ascii="仿宋_GB2312" w:eastAsia="仿宋_GB2312" w:hAnsi="Times New Roman" w:cs="Times New Roman" w:hint="eastAsia"/>
          <w:color w:val="000000"/>
          <w:kern w:val="0"/>
          <w:sz w:val="32"/>
          <w:szCs w:val="32"/>
        </w:rPr>
        <w:t>技术</w:t>
      </w:r>
      <w:r w:rsidRPr="00AB7583">
        <w:rPr>
          <w:rFonts w:ascii="仿宋_GB2312" w:eastAsia="仿宋_GB2312" w:hAnsi="Times New Roman" w:cs="Times New Roman" w:hint="eastAsia"/>
          <w:color w:val="000000"/>
          <w:kern w:val="0"/>
          <w:sz w:val="32"/>
          <w:szCs w:val="32"/>
        </w:rPr>
        <w:t>指导原则除诊断、疗效评价标准等临床上存在差别的内容外，其他内容同样适用于SLL。</w:t>
      </w:r>
    </w:p>
    <w:p w:rsidR="000A2926" w:rsidRPr="00AB7583" w:rsidRDefault="0025114C" w:rsidP="000C25E3">
      <w:pPr>
        <w:spacing w:line="360" w:lineRule="auto"/>
        <w:ind w:firstLineChars="200" w:firstLine="640"/>
        <w:rPr>
          <w:rFonts w:ascii="仿宋_GB2312" w:eastAsia="仿宋_GB2312" w:hAnsi="Times New Roman" w:cs="Times New Roman"/>
          <w:color w:val="000000"/>
          <w:kern w:val="0"/>
          <w:sz w:val="32"/>
          <w:szCs w:val="32"/>
        </w:rPr>
      </w:pPr>
      <w:r w:rsidRPr="00AB7583">
        <w:rPr>
          <w:rFonts w:ascii="仿宋_GB2312" w:eastAsia="仿宋_GB2312" w:hAnsi="Times New Roman" w:cs="Times New Roman"/>
          <w:color w:val="000000"/>
          <w:kern w:val="0"/>
          <w:sz w:val="32"/>
          <w:szCs w:val="32"/>
        </w:rPr>
        <w:t>本技术指导原则</w:t>
      </w:r>
      <w:r w:rsidR="000C25E3" w:rsidRPr="00AB7583">
        <w:rPr>
          <w:rFonts w:ascii="仿宋_GB2312" w:eastAsia="仿宋_GB2312" w:hAnsi="Times New Roman" w:cs="Times New Roman" w:hint="eastAsia"/>
          <w:color w:val="000000"/>
          <w:kern w:val="0"/>
          <w:sz w:val="32"/>
          <w:szCs w:val="32"/>
        </w:rPr>
        <w:t>中的</w:t>
      </w:r>
      <w:r w:rsidRPr="00AB7583">
        <w:rPr>
          <w:rFonts w:ascii="仿宋_GB2312" w:eastAsia="仿宋_GB2312" w:hAnsi="Times New Roman" w:cs="Times New Roman"/>
          <w:color w:val="000000"/>
          <w:kern w:val="0"/>
          <w:sz w:val="32"/>
          <w:szCs w:val="32"/>
        </w:rPr>
        <w:t>观点和建议</w:t>
      </w:r>
      <w:r w:rsidR="00DB53E7" w:rsidRPr="00AB7583">
        <w:rPr>
          <w:rFonts w:ascii="仿宋_GB2312" w:eastAsia="仿宋_GB2312" w:hAnsi="Times New Roman" w:cs="Times New Roman" w:hint="eastAsia"/>
          <w:color w:val="000000"/>
          <w:kern w:val="0"/>
          <w:sz w:val="32"/>
          <w:szCs w:val="32"/>
        </w:rPr>
        <w:t>仅</w:t>
      </w:r>
      <w:r w:rsidR="000E68AE" w:rsidRPr="00AB7583">
        <w:rPr>
          <w:rFonts w:ascii="仿宋_GB2312" w:eastAsia="仿宋_GB2312" w:hAnsi="Times New Roman" w:cs="Times New Roman" w:hint="eastAsia"/>
          <w:color w:val="000000"/>
          <w:kern w:val="0"/>
          <w:sz w:val="32"/>
          <w:szCs w:val="32"/>
        </w:rPr>
        <w:t>代表药品审评机构</w:t>
      </w:r>
      <w:r w:rsidR="000C25E3" w:rsidRPr="00AB7583">
        <w:rPr>
          <w:rFonts w:ascii="仿宋_GB2312" w:eastAsia="仿宋_GB2312" w:hAnsi="Times New Roman" w:cs="Times New Roman" w:hint="eastAsia"/>
          <w:color w:val="000000"/>
          <w:kern w:val="0"/>
          <w:sz w:val="32"/>
          <w:szCs w:val="32"/>
        </w:rPr>
        <w:t>现阶段的考虑</w:t>
      </w:r>
      <w:r w:rsidRPr="00AB7583">
        <w:rPr>
          <w:rFonts w:ascii="仿宋_GB2312" w:eastAsia="仿宋_GB2312" w:hAnsi="Times New Roman" w:cs="Times New Roman" w:hint="eastAsia"/>
          <w:color w:val="000000"/>
          <w:kern w:val="0"/>
          <w:sz w:val="32"/>
          <w:szCs w:val="32"/>
        </w:rPr>
        <w:t>，</w:t>
      </w:r>
      <w:r w:rsidR="00DB53E7" w:rsidRPr="00AB7583">
        <w:rPr>
          <w:rFonts w:ascii="仿宋_GB2312" w:eastAsia="仿宋_GB2312" w:hAnsi="Times New Roman" w:cs="Times New Roman" w:hint="eastAsia"/>
          <w:color w:val="000000"/>
          <w:kern w:val="0"/>
          <w:sz w:val="32"/>
          <w:szCs w:val="32"/>
        </w:rPr>
        <w:t>部分内容可能随着临床实践的变化不再适用，</w:t>
      </w:r>
      <w:proofErr w:type="gramStart"/>
      <w:r w:rsidRPr="00AB7583">
        <w:rPr>
          <w:rFonts w:ascii="仿宋_GB2312" w:eastAsia="仿宋_GB2312" w:hAnsi="Times New Roman" w:cs="Times New Roman"/>
          <w:color w:val="000000"/>
          <w:kern w:val="0"/>
          <w:sz w:val="32"/>
          <w:szCs w:val="32"/>
        </w:rPr>
        <w:t>供药物</w:t>
      </w:r>
      <w:proofErr w:type="gramEnd"/>
      <w:r w:rsidRPr="00AB7583">
        <w:rPr>
          <w:rFonts w:ascii="仿宋_GB2312" w:eastAsia="仿宋_GB2312" w:hAnsi="Times New Roman" w:cs="Times New Roman"/>
          <w:color w:val="000000"/>
          <w:kern w:val="0"/>
          <w:sz w:val="32"/>
          <w:szCs w:val="32"/>
        </w:rPr>
        <w:t>研发的</w:t>
      </w:r>
      <w:r w:rsidRPr="00AB7583">
        <w:rPr>
          <w:rFonts w:ascii="仿宋_GB2312" w:eastAsia="仿宋_GB2312" w:hAnsi="Times New Roman" w:cs="Times New Roman" w:hint="eastAsia"/>
          <w:color w:val="000000"/>
          <w:kern w:val="0"/>
          <w:sz w:val="32"/>
          <w:szCs w:val="32"/>
        </w:rPr>
        <w:t>申请</w:t>
      </w:r>
      <w:r w:rsidRPr="00AB7583">
        <w:rPr>
          <w:rFonts w:ascii="仿宋_GB2312" w:eastAsia="仿宋_GB2312" w:hAnsi="Times New Roman" w:cs="Times New Roman"/>
          <w:color w:val="000000"/>
          <w:kern w:val="0"/>
          <w:sz w:val="32"/>
          <w:szCs w:val="32"/>
        </w:rPr>
        <w:t>人和研究者参考</w:t>
      </w:r>
      <w:r w:rsidR="00B61842" w:rsidRPr="00AB7583">
        <w:rPr>
          <w:rFonts w:ascii="仿宋_GB2312" w:eastAsia="仿宋_GB2312" w:hAnsi="Times New Roman" w:cs="Times New Roman" w:hint="eastAsia"/>
          <w:color w:val="000000"/>
          <w:kern w:val="0"/>
          <w:sz w:val="32"/>
          <w:szCs w:val="32"/>
        </w:rPr>
        <w:t>，</w:t>
      </w:r>
      <w:r w:rsidR="00B61842" w:rsidRPr="00AB7583">
        <w:rPr>
          <w:rFonts w:ascii="仿宋_GB2312" w:eastAsia="仿宋_GB2312" w:hAnsi="Times New Roman" w:cs="Times New Roman"/>
          <w:color w:val="000000"/>
          <w:kern w:val="0"/>
          <w:sz w:val="32"/>
          <w:szCs w:val="32"/>
        </w:rPr>
        <w:t>不具</w:t>
      </w:r>
      <w:r w:rsidR="00B61842" w:rsidRPr="00AB7583">
        <w:rPr>
          <w:rFonts w:ascii="仿宋_GB2312" w:eastAsia="仿宋_GB2312" w:hAnsi="Times New Roman" w:cs="Times New Roman" w:hint="eastAsia"/>
          <w:color w:val="000000"/>
          <w:kern w:val="0"/>
          <w:sz w:val="32"/>
          <w:szCs w:val="32"/>
        </w:rPr>
        <w:t>有</w:t>
      </w:r>
      <w:r w:rsidR="00B61842" w:rsidRPr="00AB7583">
        <w:rPr>
          <w:rFonts w:ascii="仿宋_GB2312" w:eastAsia="仿宋_GB2312" w:hAnsi="Times New Roman" w:cs="Times New Roman"/>
          <w:color w:val="000000"/>
          <w:kern w:val="0"/>
          <w:sz w:val="32"/>
          <w:szCs w:val="32"/>
        </w:rPr>
        <w:t>强制性的法律约束力</w:t>
      </w:r>
      <w:r w:rsidRPr="00AB7583">
        <w:rPr>
          <w:rFonts w:ascii="仿宋_GB2312" w:eastAsia="仿宋_GB2312" w:hAnsi="Times New Roman" w:cs="Times New Roman"/>
          <w:color w:val="000000"/>
          <w:kern w:val="0"/>
          <w:sz w:val="32"/>
          <w:szCs w:val="32"/>
        </w:rPr>
        <w:t xml:space="preserve">。应用本技术指导原则时，还请同时参考国际人用药品注册技术协调会（The International Council for </w:t>
      </w:r>
      <w:proofErr w:type="spellStart"/>
      <w:r w:rsidRPr="00AB7583">
        <w:rPr>
          <w:rFonts w:ascii="仿宋_GB2312" w:eastAsia="仿宋_GB2312" w:hAnsi="Times New Roman" w:cs="Times New Roman"/>
          <w:color w:val="000000"/>
          <w:kern w:val="0"/>
          <w:sz w:val="32"/>
          <w:szCs w:val="32"/>
        </w:rPr>
        <w:t>Harmonisation</w:t>
      </w:r>
      <w:proofErr w:type="spellEnd"/>
      <w:r w:rsidRPr="00AB7583">
        <w:rPr>
          <w:rFonts w:ascii="仿宋_GB2312" w:eastAsia="仿宋_GB2312" w:hAnsi="Times New Roman" w:cs="Times New Roman"/>
          <w:color w:val="000000"/>
          <w:kern w:val="0"/>
          <w:sz w:val="32"/>
          <w:szCs w:val="32"/>
        </w:rPr>
        <w:t xml:space="preserve"> of Technical Requirements for Pharmaceuticals for Human Use，ICH）和其他国内外已发布的相关技术指导原则。</w:t>
      </w:r>
    </w:p>
    <w:p w:rsidR="005C1E21" w:rsidRPr="00AB7583" w:rsidRDefault="00A462EC" w:rsidP="005C1E21">
      <w:pPr>
        <w:pStyle w:val="1"/>
        <w:numPr>
          <w:ilvl w:val="255"/>
          <w:numId w:val="0"/>
        </w:numPr>
        <w:spacing w:before="200" w:after="200" w:line="360" w:lineRule="auto"/>
        <w:rPr>
          <w:rFonts w:ascii="Times New Roman" w:eastAsia="黑体" w:hAnsi="Times New Roman" w:cs="Times New Roman"/>
          <w:b w:val="0"/>
          <w:color w:val="000000"/>
          <w:kern w:val="0"/>
          <w:sz w:val="32"/>
          <w:szCs w:val="32"/>
        </w:rPr>
      </w:pPr>
      <w:bookmarkStart w:id="4" w:name="_Toc21053"/>
      <w:bookmarkStart w:id="5" w:name="_Toc26451"/>
      <w:bookmarkStart w:id="6" w:name="_Toc104979982"/>
      <w:r w:rsidRPr="00AB7583">
        <w:rPr>
          <w:rFonts w:ascii="Times New Roman" w:eastAsia="黑体" w:hAnsi="Times New Roman" w:cs="Times New Roman"/>
          <w:b w:val="0"/>
          <w:color w:val="000000"/>
          <w:kern w:val="0"/>
          <w:sz w:val="32"/>
          <w:szCs w:val="32"/>
        </w:rPr>
        <w:t>二、</w:t>
      </w:r>
      <w:bookmarkEnd w:id="4"/>
      <w:bookmarkEnd w:id="5"/>
      <w:r w:rsidR="005C1E21" w:rsidRPr="00AB7583">
        <w:rPr>
          <w:rFonts w:ascii="Times New Roman" w:eastAsia="黑体" w:hAnsi="Times New Roman" w:cs="Times New Roman"/>
          <w:b w:val="0"/>
          <w:color w:val="000000"/>
          <w:kern w:val="0"/>
          <w:sz w:val="32"/>
          <w:szCs w:val="32"/>
        </w:rPr>
        <w:t>基于</w:t>
      </w:r>
      <w:r w:rsidR="00703FF9" w:rsidRPr="00AB7583">
        <w:rPr>
          <w:rFonts w:ascii="Times New Roman" w:eastAsia="黑体" w:hAnsi="Times New Roman" w:cs="Times New Roman" w:hint="eastAsia"/>
          <w:b w:val="0"/>
          <w:color w:val="000000"/>
          <w:kern w:val="0"/>
          <w:sz w:val="32"/>
          <w:szCs w:val="32"/>
        </w:rPr>
        <w:t>疾病</w:t>
      </w:r>
      <w:r w:rsidR="00A81368" w:rsidRPr="00AB7583">
        <w:rPr>
          <w:rFonts w:ascii="Times New Roman" w:eastAsia="黑体" w:hAnsi="Times New Roman" w:cs="Times New Roman" w:hint="eastAsia"/>
          <w:b w:val="0"/>
          <w:color w:val="000000"/>
          <w:kern w:val="0"/>
          <w:sz w:val="32"/>
          <w:szCs w:val="32"/>
        </w:rPr>
        <w:t>特征</w:t>
      </w:r>
      <w:r w:rsidR="005C1E21" w:rsidRPr="00AB7583">
        <w:rPr>
          <w:rFonts w:ascii="Times New Roman" w:eastAsia="黑体" w:hAnsi="Times New Roman" w:cs="Times New Roman" w:hint="eastAsia"/>
          <w:b w:val="0"/>
          <w:color w:val="000000"/>
          <w:kern w:val="0"/>
          <w:sz w:val="32"/>
          <w:szCs w:val="32"/>
        </w:rPr>
        <w:t>的临床研究特殊考虑</w:t>
      </w:r>
      <w:bookmarkEnd w:id="6"/>
    </w:p>
    <w:p w:rsidR="005C1E21" w:rsidRPr="00AB7583" w:rsidRDefault="00AB7583" w:rsidP="005C1E21">
      <w:pPr>
        <w:pStyle w:val="2"/>
        <w:spacing w:before="0" w:after="0" w:line="360" w:lineRule="auto"/>
        <w:rPr>
          <w:rFonts w:ascii="楷体_GB2312" w:eastAsia="楷体_GB2312"/>
          <w:b w:val="0"/>
          <w:szCs w:val="32"/>
        </w:rPr>
      </w:pPr>
      <w:bookmarkStart w:id="7" w:name="_Toc104979983"/>
      <w:r w:rsidRPr="00AB7583">
        <w:rPr>
          <w:rFonts w:ascii="楷体_GB2312" w:eastAsia="楷体_GB2312" w:hint="eastAsia"/>
          <w:b w:val="0"/>
          <w:szCs w:val="32"/>
        </w:rPr>
        <w:t>（一）</w:t>
      </w:r>
      <w:r w:rsidR="005C1E21" w:rsidRPr="00AB7583">
        <w:rPr>
          <w:rFonts w:ascii="楷体_GB2312" w:eastAsia="楷体_GB2312" w:hint="eastAsia"/>
          <w:b w:val="0"/>
          <w:szCs w:val="32"/>
        </w:rPr>
        <w:t>治疗指征的确定</w:t>
      </w:r>
      <w:bookmarkEnd w:id="7"/>
    </w:p>
    <w:p w:rsidR="00B90F61" w:rsidRPr="00AB7583" w:rsidRDefault="000255B6" w:rsidP="0025114C">
      <w:pPr>
        <w:spacing w:line="360" w:lineRule="auto"/>
        <w:ind w:firstLineChars="200" w:firstLine="640"/>
        <w:rPr>
          <w:rFonts w:ascii="仿宋_GB2312" w:eastAsia="仿宋_GB2312" w:hAnsi="Times New Roman" w:cs="Times New Roman"/>
          <w:color w:val="000000"/>
          <w:kern w:val="0"/>
          <w:sz w:val="32"/>
          <w:szCs w:val="32"/>
        </w:rPr>
      </w:pPr>
      <w:r w:rsidRPr="00AB7583">
        <w:rPr>
          <w:rFonts w:ascii="仿宋_GB2312" w:eastAsia="仿宋_GB2312" w:hAnsi="Times New Roman" w:cs="Times New Roman" w:hint="eastAsia"/>
          <w:color w:val="000000"/>
          <w:kern w:val="0"/>
          <w:sz w:val="32"/>
          <w:szCs w:val="32"/>
        </w:rPr>
        <w:t>多数CLL</w:t>
      </w:r>
      <w:r w:rsidR="002B2625" w:rsidRPr="00AB7583">
        <w:rPr>
          <w:rFonts w:ascii="仿宋_GB2312" w:eastAsia="仿宋_GB2312" w:hAnsi="Times New Roman" w:cs="Times New Roman" w:hint="eastAsia"/>
          <w:color w:val="000000"/>
          <w:kern w:val="0"/>
          <w:sz w:val="32"/>
          <w:szCs w:val="32"/>
        </w:rPr>
        <w:t>患者在确诊时</w:t>
      </w:r>
      <w:r w:rsidRPr="00AB7583">
        <w:rPr>
          <w:rFonts w:ascii="仿宋_GB2312" w:eastAsia="仿宋_GB2312" w:hAnsi="Times New Roman" w:cs="Times New Roman" w:hint="eastAsia"/>
          <w:color w:val="000000"/>
          <w:kern w:val="0"/>
          <w:sz w:val="32"/>
          <w:szCs w:val="32"/>
        </w:rPr>
        <w:t>仅有实验室检查异常而没有临床症状，</w:t>
      </w:r>
      <w:r w:rsidR="003408A5" w:rsidRPr="00AB7583">
        <w:rPr>
          <w:rFonts w:ascii="仿宋_GB2312" w:eastAsia="仿宋_GB2312" w:hAnsi="Times New Roman" w:cs="Times New Roman" w:hint="eastAsia"/>
          <w:color w:val="000000"/>
          <w:kern w:val="0"/>
          <w:sz w:val="32"/>
          <w:szCs w:val="32"/>
        </w:rPr>
        <w:t>患者的生活质量不受疾病直接影响，</w:t>
      </w:r>
      <w:r w:rsidR="002B2625" w:rsidRPr="00AB7583">
        <w:rPr>
          <w:rFonts w:ascii="仿宋_GB2312" w:eastAsia="仿宋_GB2312" w:hAnsi="Times New Roman" w:cs="Times New Roman" w:hint="eastAsia"/>
          <w:color w:val="000000"/>
          <w:kern w:val="0"/>
          <w:sz w:val="32"/>
          <w:szCs w:val="32"/>
        </w:rPr>
        <w:t>呈现出</w:t>
      </w:r>
      <w:r w:rsidR="00FB4DF4" w:rsidRPr="00AB7583">
        <w:rPr>
          <w:rFonts w:ascii="仿宋_GB2312" w:eastAsia="仿宋_GB2312" w:hAnsi="Times New Roman" w:cs="Times New Roman" w:hint="eastAsia"/>
          <w:color w:val="000000"/>
          <w:kern w:val="0"/>
          <w:sz w:val="32"/>
          <w:szCs w:val="32"/>
        </w:rPr>
        <w:t>典型的隐匿和惰性特征</w:t>
      </w:r>
      <w:r w:rsidR="003408A5" w:rsidRPr="00AB7583">
        <w:rPr>
          <w:rFonts w:ascii="仿宋_GB2312" w:eastAsia="仿宋_GB2312" w:hAnsi="Times New Roman" w:cs="Times New Roman" w:hint="eastAsia"/>
          <w:color w:val="000000"/>
          <w:kern w:val="0"/>
          <w:sz w:val="32"/>
          <w:szCs w:val="32"/>
        </w:rPr>
        <w:t>。当前的临床共识是</w:t>
      </w:r>
      <w:r w:rsidR="008E08EF" w:rsidRPr="00AB7583">
        <w:rPr>
          <w:rFonts w:ascii="仿宋_GB2312" w:eastAsia="仿宋_GB2312" w:hAnsi="Times New Roman" w:cs="Times New Roman" w:hint="eastAsia"/>
          <w:color w:val="000000"/>
          <w:kern w:val="0"/>
          <w:sz w:val="32"/>
          <w:szCs w:val="32"/>
        </w:rPr>
        <w:t>：“</w:t>
      </w:r>
      <w:r w:rsidR="009A001B" w:rsidRPr="00AB7583">
        <w:rPr>
          <w:rFonts w:ascii="仿宋_GB2312" w:eastAsia="仿宋_GB2312" w:hAnsi="Times New Roman" w:cs="Times New Roman" w:hint="eastAsia"/>
          <w:color w:val="000000"/>
          <w:kern w:val="0"/>
          <w:sz w:val="32"/>
          <w:szCs w:val="32"/>
        </w:rPr>
        <w:t>非活动性</w:t>
      </w:r>
      <w:r w:rsidR="008E08EF" w:rsidRPr="00AB7583">
        <w:rPr>
          <w:rFonts w:ascii="仿宋_GB2312" w:eastAsia="仿宋_GB2312" w:hAnsi="Times New Roman" w:cs="Times New Roman" w:hint="eastAsia"/>
          <w:color w:val="000000"/>
          <w:kern w:val="0"/>
          <w:sz w:val="32"/>
          <w:szCs w:val="32"/>
        </w:rPr>
        <w:t>”（</w:t>
      </w:r>
      <w:r w:rsidR="003278CB" w:rsidRPr="00AB7583">
        <w:rPr>
          <w:rFonts w:ascii="仿宋_GB2312" w:eastAsia="仿宋_GB2312" w:hAnsi="Times New Roman" w:cs="Times New Roman" w:hint="eastAsia"/>
          <w:color w:val="000000"/>
          <w:kern w:val="0"/>
          <w:sz w:val="32"/>
          <w:szCs w:val="32"/>
        </w:rPr>
        <w:t>如</w:t>
      </w:r>
      <w:r w:rsidR="002B2625" w:rsidRPr="00AB7583">
        <w:rPr>
          <w:rFonts w:ascii="仿宋_GB2312" w:eastAsia="仿宋_GB2312" w:hAnsi="Times New Roman" w:cs="Times New Roman" w:hint="eastAsia"/>
          <w:color w:val="000000"/>
          <w:kern w:val="0"/>
          <w:sz w:val="32"/>
          <w:szCs w:val="32"/>
        </w:rPr>
        <w:t>无症</w:t>
      </w:r>
      <w:r w:rsidR="002B2625" w:rsidRPr="00AB7583">
        <w:rPr>
          <w:rFonts w:ascii="仿宋_GB2312" w:eastAsia="仿宋_GB2312" w:hAnsi="Times New Roman" w:cs="Times New Roman" w:hint="eastAsia"/>
          <w:color w:val="000000"/>
          <w:kern w:val="0"/>
          <w:sz w:val="32"/>
          <w:szCs w:val="32"/>
        </w:rPr>
        <w:lastRenderedPageBreak/>
        <w:t>状</w:t>
      </w:r>
      <w:r w:rsidR="008E08EF" w:rsidRPr="00AB7583">
        <w:rPr>
          <w:rFonts w:ascii="仿宋_GB2312" w:eastAsia="仿宋_GB2312" w:hAnsi="Times New Roman" w:cs="Times New Roman" w:hint="eastAsia"/>
          <w:color w:val="000000"/>
          <w:kern w:val="0"/>
          <w:sz w:val="32"/>
          <w:szCs w:val="32"/>
        </w:rPr>
        <w:t>或</w:t>
      </w:r>
      <w:r w:rsidR="00121328" w:rsidRPr="00AB7583">
        <w:rPr>
          <w:rFonts w:ascii="仿宋_GB2312" w:eastAsia="仿宋_GB2312" w:hAnsi="Times New Roman" w:cs="Times New Roman" w:hint="eastAsia"/>
          <w:color w:val="000000"/>
          <w:kern w:val="0"/>
          <w:sz w:val="32"/>
          <w:szCs w:val="32"/>
        </w:rPr>
        <w:t>疾病</w:t>
      </w:r>
      <w:r w:rsidR="003278CB" w:rsidRPr="00AB7583">
        <w:rPr>
          <w:rFonts w:ascii="仿宋_GB2312" w:eastAsia="仿宋_GB2312" w:hAnsi="Times New Roman" w:cs="Times New Roman" w:hint="eastAsia"/>
          <w:color w:val="000000"/>
          <w:kern w:val="0"/>
          <w:sz w:val="32"/>
          <w:szCs w:val="32"/>
        </w:rPr>
        <w:t>分期</w:t>
      </w:r>
      <w:r w:rsidR="002B2625" w:rsidRPr="00AB7583">
        <w:rPr>
          <w:rFonts w:ascii="仿宋_GB2312" w:eastAsia="仿宋_GB2312" w:hAnsi="Times New Roman" w:cs="Times New Roman" w:hint="eastAsia"/>
          <w:color w:val="000000"/>
          <w:kern w:val="0"/>
          <w:sz w:val="32"/>
          <w:szCs w:val="32"/>
        </w:rPr>
        <w:t>级别较低</w:t>
      </w:r>
      <w:r w:rsidR="00FB7F18" w:rsidRPr="00AB7583">
        <w:rPr>
          <w:rFonts w:ascii="仿宋_GB2312" w:eastAsia="仿宋_GB2312" w:hAnsi="Times New Roman" w:cs="Times New Roman" w:hint="eastAsia"/>
          <w:color w:val="000000"/>
          <w:kern w:val="0"/>
          <w:sz w:val="32"/>
          <w:szCs w:val="32"/>
        </w:rPr>
        <w:t>）</w:t>
      </w:r>
      <w:r w:rsidR="008E08EF" w:rsidRPr="00AB7583">
        <w:rPr>
          <w:rFonts w:ascii="仿宋_GB2312" w:eastAsia="仿宋_GB2312" w:hAnsi="Times New Roman" w:cs="Times New Roman" w:hint="eastAsia"/>
          <w:color w:val="000000"/>
          <w:kern w:val="0"/>
          <w:sz w:val="32"/>
          <w:szCs w:val="32"/>
        </w:rPr>
        <w:t>的CLL患者不需要立刻接受治疗，</w:t>
      </w:r>
      <w:r w:rsidR="003278CB" w:rsidRPr="00AB7583">
        <w:rPr>
          <w:rFonts w:ascii="仿宋_GB2312" w:eastAsia="仿宋_GB2312" w:hAnsi="Times New Roman" w:cs="Times New Roman" w:hint="eastAsia"/>
          <w:color w:val="000000"/>
          <w:kern w:val="0"/>
          <w:sz w:val="32"/>
          <w:szCs w:val="32"/>
        </w:rPr>
        <w:t>标准处理方案（</w:t>
      </w:r>
      <w:proofErr w:type="spellStart"/>
      <w:r w:rsidR="003278CB" w:rsidRPr="00AB7583">
        <w:rPr>
          <w:rFonts w:ascii="仿宋_GB2312" w:eastAsia="仿宋_GB2312" w:hAnsi="Times New Roman" w:cs="Times New Roman" w:hint="eastAsia"/>
          <w:color w:val="000000"/>
          <w:kern w:val="0"/>
          <w:sz w:val="32"/>
          <w:szCs w:val="32"/>
        </w:rPr>
        <w:t>standardofcare</w:t>
      </w:r>
      <w:proofErr w:type="spellEnd"/>
      <w:r w:rsidR="003278CB" w:rsidRPr="00AB7583">
        <w:rPr>
          <w:rFonts w:ascii="仿宋_GB2312" w:eastAsia="仿宋_GB2312" w:hAnsi="Times New Roman" w:cs="Times New Roman" w:hint="eastAsia"/>
          <w:color w:val="000000"/>
          <w:kern w:val="0"/>
          <w:sz w:val="32"/>
          <w:szCs w:val="32"/>
        </w:rPr>
        <w:t>，SOC）</w:t>
      </w:r>
      <w:r w:rsidR="00110180" w:rsidRPr="00AB7583">
        <w:rPr>
          <w:rFonts w:ascii="仿宋_GB2312" w:eastAsia="仿宋_GB2312" w:hAnsi="Times New Roman" w:cs="Times New Roman" w:hint="eastAsia"/>
          <w:color w:val="000000"/>
          <w:kern w:val="0"/>
          <w:sz w:val="32"/>
          <w:szCs w:val="32"/>
        </w:rPr>
        <w:t>为</w:t>
      </w:r>
      <w:r w:rsidR="003E4B93" w:rsidRPr="00AB7583">
        <w:rPr>
          <w:rFonts w:ascii="仿宋_GB2312" w:eastAsia="仿宋_GB2312" w:hAnsi="Times New Roman" w:cs="Times New Roman" w:hint="eastAsia"/>
          <w:color w:val="000000"/>
          <w:kern w:val="0"/>
          <w:sz w:val="32"/>
          <w:szCs w:val="32"/>
        </w:rPr>
        <w:t>随访观察，</w:t>
      </w:r>
      <w:r w:rsidR="00305707" w:rsidRPr="00AB7583">
        <w:rPr>
          <w:rFonts w:ascii="仿宋_GB2312" w:eastAsia="仿宋_GB2312" w:hAnsi="Times New Roman" w:cs="Times New Roman" w:hint="eastAsia"/>
          <w:color w:val="000000"/>
          <w:kern w:val="0"/>
          <w:sz w:val="32"/>
          <w:szCs w:val="32"/>
        </w:rPr>
        <w:t>早期干预并不能改善这部分患者的长期生存</w:t>
      </w:r>
      <w:r w:rsidR="002B2625" w:rsidRPr="00EC073B">
        <w:rPr>
          <w:rFonts w:ascii="仿宋_GB2312" w:eastAsia="仿宋_GB2312" w:hAnsi="Times New Roman" w:cs="Times New Roman" w:hint="eastAsia"/>
          <w:color w:val="000000"/>
          <w:kern w:val="0"/>
          <w:sz w:val="32"/>
          <w:szCs w:val="32"/>
          <w:vertAlign w:val="superscript"/>
        </w:rPr>
        <w:t>[2]</w:t>
      </w:r>
      <w:r w:rsidR="00305707" w:rsidRPr="00AB7583">
        <w:rPr>
          <w:rFonts w:ascii="仿宋_GB2312" w:eastAsia="仿宋_GB2312" w:hAnsi="Times New Roman" w:cs="Times New Roman" w:hint="eastAsia"/>
          <w:color w:val="000000"/>
          <w:kern w:val="0"/>
          <w:sz w:val="32"/>
          <w:szCs w:val="32"/>
        </w:rPr>
        <w:t>。</w:t>
      </w:r>
      <w:r w:rsidR="008F2DD9" w:rsidRPr="00AB7583">
        <w:rPr>
          <w:rFonts w:ascii="仿宋_GB2312" w:eastAsia="仿宋_GB2312" w:hAnsi="Times New Roman" w:cs="Times New Roman" w:hint="eastAsia"/>
          <w:color w:val="000000"/>
          <w:kern w:val="0"/>
          <w:sz w:val="32"/>
          <w:szCs w:val="32"/>
        </w:rPr>
        <w:t>原则上，</w:t>
      </w:r>
      <w:r w:rsidR="00305707" w:rsidRPr="00AB7583">
        <w:rPr>
          <w:rFonts w:ascii="仿宋_GB2312" w:eastAsia="仿宋_GB2312" w:hAnsi="Times New Roman" w:cs="Times New Roman" w:hint="eastAsia"/>
          <w:color w:val="000000"/>
          <w:kern w:val="0"/>
          <w:sz w:val="32"/>
          <w:szCs w:val="32"/>
        </w:rPr>
        <w:t>CLL新药临床试验</w:t>
      </w:r>
      <w:r w:rsidR="008F2DD9" w:rsidRPr="00AB7583">
        <w:rPr>
          <w:rFonts w:ascii="仿宋_GB2312" w:eastAsia="仿宋_GB2312" w:hAnsi="Times New Roman" w:cs="Times New Roman" w:hint="eastAsia"/>
          <w:color w:val="000000"/>
          <w:kern w:val="0"/>
          <w:sz w:val="32"/>
          <w:szCs w:val="32"/>
        </w:rPr>
        <w:t>应</w:t>
      </w:r>
      <w:r w:rsidR="00C87D05" w:rsidRPr="00AB7583">
        <w:rPr>
          <w:rFonts w:ascii="仿宋_GB2312" w:eastAsia="仿宋_GB2312" w:hAnsi="Times New Roman" w:cs="Times New Roman" w:hint="eastAsia"/>
          <w:color w:val="000000"/>
          <w:kern w:val="0"/>
          <w:sz w:val="32"/>
          <w:szCs w:val="32"/>
        </w:rPr>
        <w:t>以具有治疗需求，即存在治疗指征</w:t>
      </w:r>
      <w:r w:rsidR="00D40804" w:rsidRPr="00AB7583">
        <w:rPr>
          <w:rFonts w:ascii="仿宋_GB2312" w:eastAsia="仿宋_GB2312" w:hAnsi="Times New Roman" w:cs="Times New Roman" w:hint="eastAsia"/>
          <w:color w:val="000000"/>
          <w:kern w:val="0"/>
          <w:sz w:val="32"/>
          <w:szCs w:val="32"/>
        </w:rPr>
        <w:t>的</w:t>
      </w:r>
      <w:r w:rsidR="00305707" w:rsidRPr="00AB7583">
        <w:rPr>
          <w:rFonts w:ascii="仿宋_GB2312" w:eastAsia="仿宋_GB2312" w:hAnsi="Times New Roman" w:cs="Times New Roman" w:hint="eastAsia"/>
          <w:color w:val="000000"/>
          <w:kern w:val="0"/>
          <w:sz w:val="32"/>
          <w:szCs w:val="32"/>
        </w:rPr>
        <w:t>患者为研究人群</w:t>
      </w:r>
      <w:r w:rsidR="00C87D05" w:rsidRPr="00AB7583">
        <w:rPr>
          <w:rFonts w:ascii="仿宋_GB2312" w:eastAsia="仿宋_GB2312" w:hAnsi="Times New Roman" w:cs="Times New Roman" w:hint="eastAsia"/>
          <w:color w:val="000000"/>
          <w:kern w:val="0"/>
          <w:sz w:val="32"/>
          <w:szCs w:val="32"/>
        </w:rPr>
        <w:t>，方案中应该明确定义</w:t>
      </w:r>
      <w:r w:rsidR="00C1559C" w:rsidRPr="00AB7583">
        <w:rPr>
          <w:rFonts w:ascii="仿宋_GB2312" w:eastAsia="仿宋_GB2312" w:hAnsi="Times New Roman" w:cs="Times New Roman" w:hint="eastAsia"/>
          <w:color w:val="000000"/>
          <w:kern w:val="0"/>
          <w:sz w:val="32"/>
          <w:szCs w:val="32"/>
        </w:rPr>
        <w:t>“治疗指征</w:t>
      </w:r>
      <w:r w:rsidR="003D3EEB" w:rsidRPr="00AB7583">
        <w:rPr>
          <w:rFonts w:ascii="仿宋_GB2312" w:eastAsia="仿宋_GB2312" w:hAnsi="Times New Roman" w:cs="Times New Roman" w:hint="eastAsia"/>
          <w:color w:val="000000"/>
          <w:kern w:val="0"/>
          <w:sz w:val="32"/>
          <w:szCs w:val="32"/>
        </w:rPr>
        <w:t>”</w:t>
      </w:r>
      <w:r w:rsidR="00C87D05" w:rsidRPr="00AB7583">
        <w:rPr>
          <w:rFonts w:ascii="仿宋_GB2312" w:eastAsia="仿宋_GB2312" w:hAnsi="Times New Roman" w:cs="Times New Roman" w:hint="eastAsia"/>
          <w:color w:val="000000"/>
          <w:kern w:val="0"/>
          <w:sz w:val="32"/>
          <w:szCs w:val="32"/>
        </w:rPr>
        <w:t>。</w:t>
      </w:r>
      <w:r w:rsidR="003E4B93" w:rsidRPr="00AB7583">
        <w:rPr>
          <w:rFonts w:ascii="仿宋_GB2312" w:eastAsia="仿宋_GB2312" w:hAnsi="Times New Roman" w:cs="Times New Roman" w:hint="eastAsia"/>
          <w:color w:val="000000"/>
          <w:kern w:val="0"/>
          <w:sz w:val="32"/>
          <w:szCs w:val="32"/>
        </w:rPr>
        <w:t>境内外临床实践对“治疗指征”的定义</w:t>
      </w:r>
      <w:r w:rsidR="009A001B" w:rsidRPr="00AB7583">
        <w:rPr>
          <w:rFonts w:ascii="仿宋_GB2312" w:eastAsia="仿宋_GB2312" w:hAnsi="Times New Roman" w:cs="Times New Roman" w:hint="eastAsia"/>
          <w:color w:val="000000"/>
          <w:kern w:val="0"/>
          <w:sz w:val="32"/>
          <w:szCs w:val="32"/>
        </w:rPr>
        <w:t>基本一致，具体表述上</w:t>
      </w:r>
      <w:r w:rsidR="003E4B93" w:rsidRPr="00AB7583">
        <w:rPr>
          <w:rFonts w:ascii="仿宋_GB2312" w:eastAsia="仿宋_GB2312" w:hAnsi="Times New Roman" w:cs="Times New Roman" w:hint="eastAsia"/>
          <w:color w:val="000000"/>
          <w:kern w:val="0"/>
          <w:sz w:val="32"/>
          <w:szCs w:val="32"/>
        </w:rPr>
        <w:t>略有不同，在开展国际多中心临床试验时应注意协调。</w:t>
      </w:r>
      <w:r w:rsidR="004654A8" w:rsidRPr="00AB7583">
        <w:rPr>
          <w:rFonts w:ascii="仿宋_GB2312" w:eastAsia="仿宋_GB2312" w:hAnsi="Times New Roman" w:cs="Times New Roman" w:hint="eastAsia"/>
          <w:color w:val="000000"/>
          <w:kern w:val="0"/>
          <w:sz w:val="32"/>
          <w:szCs w:val="32"/>
        </w:rPr>
        <w:t>疾病复发并非开始后续治疗的充分条件，在复发人群中开展临床试验也应该确定患者具有“治疗指征”。</w:t>
      </w:r>
      <w:r w:rsidR="00D14F79" w:rsidRPr="00AB7583">
        <w:rPr>
          <w:rFonts w:ascii="仿宋_GB2312" w:eastAsia="仿宋_GB2312" w:hAnsi="Times New Roman" w:cs="Times New Roman" w:hint="eastAsia"/>
          <w:color w:val="000000"/>
          <w:kern w:val="0"/>
          <w:sz w:val="32"/>
          <w:szCs w:val="32"/>
        </w:rPr>
        <w:t>如果某一创新</w:t>
      </w:r>
      <w:proofErr w:type="gramStart"/>
      <w:r w:rsidR="00D14F79" w:rsidRPr="00AB7583">
        <w:rPr>
          <w:rFonts w:ascii="仿宋_GB2312" w:eastAsia="仿宋_GB2312" w:hAnsi="Times New Roman" w:cs="Times New Roman" w:hint="eastAsia"/>
          <w:color w:val="000000"/>
          <w:kern w:val="0"/>
          <w:sz w:val="32"/>
          <w:szCs w:val="32"/>
        </w:rPr>
        <w:t>药希望</w:t>
      </w:r>
      <w:proofErr w:type="gramEnd"/>
      <w:r w:rsidR="00D14F79" w:rsidRPr="00AB7583">
        <w:rPr>
          <w:rFonts w:ascii="仿宋_GB2312" w:eastAsia="仿宋_GB2312" w:hAnsi="Times New Roman" w:cs="Times New Roman" w:hint="eastAsia"/>
          <w:color w:val="000000"/>
          <w:kern w:val="0"/>
          <w:sz w:val="32"/>
          <w:szCs w:val="32"/>
        </w:rPr>
        <w:t>开展CLL早期干预的临床试验（即纳入无常规“治疗指征”的患者），</w:t>
      </w:r>
      <w:r w:rsidR="0053633E" w:rsidRPr="00AB7583">
        <w:rPr>
          <w:rFonts w:ascii="仿宋_GB2312" w:eastAsia="仿宋_GB2312" w:hAnsi="Times New Roman" w:cs="Times New Roman" w:hint="eastAsia"/>
          <w:color w:val="000000"/>
          <w:kern w:val="0"/>
          <w:sz w:val="32"/>
          <w:szCs w:val="32"/>
        </w:rPr>
        <w:t>需要非常谨慎。</w:t>
      </w:r>
      <w:r w:rsidR="00D14F79" w:rsidRPr="00AB7583">
        <w:rPr>
          <w:rFonts w:ascii="仿宋_GB2312" w:eastAsia="仿宋_GB2312" w:hAnsi="Times New Roman" w:cs="Times New Roman" w:hint="eastAsia"/>
          <w:color w:val="000000"/>
          <w:kern w:val="0"/>
          <w:sz w:val="32"/>
          <w:szCs w:val="32"/>
        </w:rPr>
        <w:t>按照一般的抗肿瘤药研发规律，</w:t>
      </w:r>
      <w:r w:rsidR="00F825E9" w:rsidRPr="00AB7583">
        <w:rPr>
          <w:rFonts w:ascii="仿宋_GB2312" w:eastAsia="仿宋_GB2312" w:hAnsi="Times New Roman" w:cs="Times New Roman" w:hint="eastAsia"/>
          <w:color w:val="000000"/>
          <w:kern w:val="0"/>
          <w:sz w:val="32"/>
          <w:szCs w:val="32"/>
        </w:rPr>
        <w:t>应至少先</w:t>
      </w:r>
      <w:r w:rsidR="00D14F79" w:rsidRPr="00AB7583">
        <w:rPr>
          <w:rFonts w:ascii="仿宋_GB2312" w:eastAsia="仿宋_GB2312" w:hAnsi="Times New Roman" w:cs="Times New Roman" w:hint="eastAsia"/>
          <w:color w:val="000000"/>
          <w:kern w:val="0"/>
          <w:sz w:val="32"/>
          <w:szCs w:val="32"/>
        </w:rPr>
        <w:t>在具有“治疗指征”的患者人群中完成概念验证，再考虑将研究人群拓宽至无“治疗指征”的患者，且积极与</w:t>
      </w:r>
      <w:proofErr w:type="gramStart"/>
      <w:r w:rsidR="00D14F79" w:rsidRPr="00AB7583">
        <w:rPr>
          <w:rFonts w:ascii="仿宋_GB2312" w:eastAsia="仿宋_GB2312" w:hAnsi="Times New Roman" w:cs="Times New Roman" w:hint="eastAsia"/>
          <w:color w:val="000000"/>
          <w:kern w:val="0"/>
          <w:sz w:val="32"/>
          <w:szCs w:val="32"/>
        </w:rPr>
        <w:t>药审中心</w:t>
      </w:r>
      <w:proofErr w:type="gramEnd"/>
      <w:r w:rsidR="00D14F79" w:rsidRPr="00AB7583">
        <w:rPr>
          <w:rFonts w:ascii="仿宋_GB2312" w:eastAsia="仿宋_GB2312" w:hAnsi="Times New Roman" w:cs="Times New Roman" w:hint="eastAsia"/>
          <w:color w:val="000000"/>
          <w:kern w:val="0"/>
          <w:sz w:val="32"/>
          <w:szCs w:val="32"/>
        </w:rPr>
        <w:t>沟通</w:t>
      </w:r>
      <w:r w:rsidR="002E39B8" w:rsidRPr="00AB7583">
        <w:rPr>
          <w:rFonts w:ascii="仿宋_GB2312" w:eastAsia="仿宋_GB2312" w:hAnsi="Times New Roman" w:cs="Times New Roman" w:hint="eastAsia"/>
          <w:color w:val="000000"/>
          <w:kern w:val="0"/>
          <w:sz w:val="32"/>
          <w:szCs w:val="32"/>
        </w:rPr>
        <w:t>交流</w:t>
      </w:r>
      <w:r w:rsidR="00D14F79" w:rsidRPr="00AB7583">
        <w:rPr>
          <w:rFonts w:ascii="仿宋_GB2312" w:eastAsia="仿宋_GB2312" w:hAnsi="Times New Roman" w:cs="Times New Roman" w:hint="eastAsia"/>
          <w:color w:val="000000"/>
          <w:kern w:val="0"/>
          <w:sz w:val="32"/>
          <w:szCs w:val="32"/>
        </w:rPr>
        <w:t>。</w:t>
      </w:r>
      <w:r w:rsidR="00E97744" w:rsidRPr="00AB7583">
        <w:rPr>
          <w:rFonts w:ascii="仿宋_GB2312" w:eastAsia="仿宋_GB2312" w:hAnsi="Times New Roman" w:cs="Times New Roman" w:hint="eastAsia"/>
          <w:color w:val="000000"/>
          <w:kern w:val="0"/>
          <w:sz w:val="32"/>
          <w:szCs w:val="32"/>
        </w:rPr>
        <w:t>需要指出的是，即使通过早期干预推迟了无“治疗指征”患者进入下一阶段</w:t>
      </w:r>
      <w:r w:rsidR="003D064F" w:rsidRPr="00AB7583">
        <w:rPr>
          <w:rFonts w:ascii="仿宋_GB2312" w:eastAsia="仿宋_GB2312" w:hAnsi="Times New Roman" w:cs="Times New Roman" w:hint="eastAsia"/>
          <w:color w:val="000000"/>
          <w:kern w:val="0"/>
          <w:sz w:val="32"/>
          <w:szCs w:val="32"/>
        </w:rPr>
        <w:t>治疗</w:t>
      </w:r>
      <w:r w:rsidR="00E97744" w:rsidRPr="00AB7583">
        <w:rPr>
          <w:rFonts w:ascii="仿宋_GB2312" w:eastAsia="仿宋_GB2312" w:hAnsi="Times New Roman" w:cs="Times New Roman" w:hint="eastAsia"/>
          <w:color w:val="000000"/>
          <w:kern w:val="0"/>
          <w:sz w:val="32"/>
          <w:szCs w:val="32"/>
        </w:rPr>
        <w:t>的时间（例如延长了无事件生存期），也不代表早期干预对患者整个CLL病程</w:t>
      </w:r>
      <w:r w:rsidR="00E8144B" w:rsidRPr="00AB7583">
        <w:rPr>
          <w:rFonts w:ascii="仿宋_GB2312" w:eastAsia="仿宋_GB2312" w:hAnsi="Times New Roman" w:cs="Times New Roman" w:hint="eastAsia"/>
          <w:color w:val="000000"/>
          <w:kern w:val="0"/>
          <w:sz w:val="32"/>
          <w:szCs w:val="32"/>
        </w:rPr>
        <w:t>的管理</w:t>
      </w:r>
      <w:r w:rsidR="00E97744" w:rsidRPr="00AB7583">
        <w:rPr>
          <w:rFonts w:ascii="仿宋_GB2312" w:eastAsia="仿宋_GB2312" w:hAnsi="Times New Roman" w:cs="Times New Roman" w:hint="eastAsia"/>
          <w:color w:val="000000"/>
          <w:kern w:val="0"/>
          <w:sz w:val="32"/>
          <w:szCs w:val="32"/>
        </w:rPr>
        <w:t>是有利的。</w:t>
      </w:r>
    </w:p>
    <w:p w:rsidR="00F45305" w:rsidRPr="00AB7583" w:rsidRDefault="00AB7583" w:rsidP="00F45305">
      <w:pPr>
        <w:pStyle w:val="2"/>
        <w:spacing w:before="0" w:after="0" w:line="360" w:lineRule="auto"/>
        <w:rPr>
          <w:rFonts w:ascii="楷体_GB2312" w:eastAsia="楷体_GB2312"/>
          <w:b w:val="0"/>
          <w:szCs w:val="32"/>
        </w:rPr>
      </w:pPr>
      <w:bookmarkStart w:id="8" w:name="_Toc104979984"/>
      <w:r>
        <w:rPr>
          <w:rFonts w:ascii="楷体_GB2312" w:eastAsia="楷体_GB2312" w:hint="eastAsia"/>
          <w:b w:val="0"/>
          <w:szCs w:val="32"/>
        </w:rPr>
        <w:t>（二）</w:t>
      </w:r>
      <w:r w:rsidR="00F45305" w:rsidRPr="00AB7583">
        <w:rPr>
          <w:rFonts w:ascii="楷体_GB2312" w:eastAsia="楷体_GB2312" w:hint="eastAsia"/>
          <w:b w:val="0"/>
          <w:szCs w:val="32"/>
        </w:rPr>
        <w:t>治疗目标的选择</w:t>
      </w:r>
      <w:bookmarkEnd w:id="8"/>
    </w:p>
    <w:p w:rsidR="00F45305" w:rsidRPr="00AB7583" w:rsidRDefault="00F45305" w:rsidP="00AB7583">
      <w:pPr>
        <w:spacing w:line="360" w:lineRule="auto"/>
        <w:ind w:firstLineChars="200" w:firstLine="640"/>
        <w:rPr>
          <w:rFonts w:ascii="仿宋_GB2312" w:eastAsia="仿宋_GB2312" w:hAnsi="Times New Roman" w:cs="Times New Roman"/>
          <w:color w:val="000000"/>
          <w:kern w:val="0"/>
          <w:sz w:val="32"/>
          <w:szCs w:val="32"/>
        </w:rPr>
      </w:pPr>
      <w:r w:rsidRPr="00AB7583">
        <w:rPr>
          <w:rFonts w:ascii="仿宋_GB2312" w:eastAsia="仿宋_GB2312" w:hAnsi="Times New Roman" w:cs="Times New Roman" w:hint="eastAsia"/>
          <w:color w:val="000000"/>
          <w:kern w:val="0"/>
          <w:sz w:val="32"/>
          <w:szCs w:val="32"/>
        </w:rPr>
        <w:t>一般而言，肿瘤的治疗过程中，降低治疗强度可能直接影响疾病的治愈率或缓解率，并影响对无进展生存期和/或总生存期的改善。但高强度的治疗也可能带来更多的治疗相关毒性，造成</w:t>
      </w:r>
      <w:proofErr w:type="gramStart"/>
      <w:r w:rsidRPr="00AB7583">
        <w:rPr>
          <w:rFonts w:ascii="仿宋_GB2312" w:eastAsia="仿宋_GB2312" w:hAnsi="Times New Roman" w:cs="Times New Roman" w:hint="eastAsia"/>
          <w:color w:val="000000"/>
          <w:kern w:val="0"/>
          <w:sz w:val="32"/>
          <w:szCs w:val="32"/>
        </w:rPr>
        <w:t>不</w:t>
      </w:r>
      <w:proofErr w:type="gramEnd"/>
      <w:r w:rsidRPr="00AB7583">
        <w:rPr>
          <w:rFonts w:ascii="仿宋_GB2312" w:eastAsia="仿宋_GB2312" w:hAnsi="Times New Roman" w:cs="Times New Roman" w:hint="eastAsia"/>
          <w:color w:val="000000"/>
          <w:kern w:val="0"/>
          <w:sz w:val="32"/>
          <w:szCs w:val="32"/>
        </w:rPr>
        <w:t>耐受者早期停药，或者对器官功能带来不可</w:t>
      </w:r>
      <w:r w:rsidRPr="00AB7583">
        <w:rPr>
          <w:rFonts w:ascii="仿宋_GB2312" w:eastAsia="仿宋_GB2312" w:hAnsi="Times New Roman" w:cs="Times New Roman" w:hint="eastAsia"/>
          <w:color w:val="000000"/>
          <w:kern w:val="0"/>
          <w:sz w:val="32"/>
          <w:szCs w:val="32"/>
        </w:rPr>
        <w:lastRenderedPageBreak/>
        <w:t>逆的损害影响患者长期生活质量，甚至增加非进展性死亡风险。CLL患者中相当一部分为≥7</w:t>
      </w:r>
      <w:r w:rsidRPr="00AB7583">
        <w:rPr>
          <w:rFonts w:ascii="仿宋_GB2312" w:eastAsia="仿宋_GB2312" w:hAnsi="Times New Roman" w:cs="Times New Roman"/>
          <w:color w:val="000000"/>
          <w:kern w:val="0"/>
          <w:sz w:val="32"/>
          <w:szCs w:val="32"/>
        </w:rPr>
        <w:t>5</w:t>
      </w:r>
      <w:r w:rsidRPr="00AB7583">
        <w:rPr>
          <w:rFonts w:ascii="仿宋_GB2312" w:eastAsia="仿宋_GB2312" w:hAnsi="Times New Roman" w:cs="Times New Roman" w:hint="eastAsia"/>
          <w:color w:val="000000"/>
          <w:kern w:val="0"/>
          <w:sz w:val="32"/>
          <w:szCs w:val="32"/>
        </w:rPr>
        <w:t>周岁的高龄患者，患病年龄已经接近整体人群的平均预期寿命，患者从温和的治疗方案中可能获得比年轻患者更有意义的临床获益，治疗毒性则更容易对其生活质量和长期生存造成无法挽回的损失。因此，启动某一新药在CLL人群中的临床试验时，应结合药物的机制和潜在毒性，对目标人群进行预判，例如细胞毒性药物选择年龄＜6</w:t>
      </w:r>
      <w:r w:rsidRPr="00AB7583">
        <w:rPr>
          <w:rFonts w:ascii="仿宋_GB2312" w:eastAsia="仿宋_GB2312" w:hAnsi="Times New Roman" w:cs="Times New Roman"/>
          <w:color w:val="000000"/>
          <w:kern w:val="0"/>
          <w:sz w:val="32"/>
          <w:szCs w:val="32"/>
        </w:rPr>
        <w:t>5</w:t>
      </w:r>
      <w:r w:rsidRPr="00AB7583">
        <w:rPr>
          <w:rFonts w:ascii="仿宋_GB2312" w:eastAsia="仿宋_GB2312" w:hAnsi="Times New Roman" w:cs="Times New Roman" w:hint="eastAsia"/>
          <w:color w:val="000000"/>
          <w:kern w:val="0"/>
          <w:sz w:val="32"/>
          <w:szCs w:val="32"/>
        </w:rPr>
        <w:t>周岁或治疗目标为</w:t>
      </w:r>
      <w:r w:rsidR="006957E0" w:rsidRPr="00AB7583">
        <w:rPr>
          <w:rFonts w:ascii="仿宋_GB2312" w:eastAsia="仿宋_GB2312" w:hAnsi="Times New Roman" w:cs="Times New Roman" w:hint="eastAsia"/>
          <w:color w:val="000000"/>
          <w:kern w:val="0"/>
          <w:sz w:val="32"/>
          <w:szCs w:val="32"/>
        </w:rPr>
        <w:t>通过</w:t>
      </w:r>
      <w:r w:rsidRPr="00AB7583">
        <w:rPr>
          <w:rFonts w:ascii="仿宋_GB2312" w:eastAsia="仿宋_GB2312" w:hAnsi="Times New Roman" w:cs="Times New Roman" w:hint="eastAsia"/>
          <w:color w:val="000000"/>
          <w:kern w:val="0"/>
          <w:sz w:val="32"/>
          <w:szCs w:val="32"/>
        </w:rPr>
        <w:t>深度缓解</w:t>
      </w:r>
      <w:r w:rsidR="006957E0" w:rsidRPr="00AB7583">
        <w:rPr>
          <w:rFonts w:ascii="仿宋_GB2312" w:eastAsia="仿宋_GB2312" w:hAnsi="Times New Roman" w:cs="Times New Roman" w:hint="eastAsia"/>
          <w:color w:val="000000"/>
          <w:kern w:val="0"/>
          <w:sz w:val="32"/>
          <w:szCs w:val="32"/>
        </w:rPr>
        <w:t>延缓疾病进展</w:t>
      </w:r>
      <w:r w:rsidRPr="00AB7583">
        <w:rPr>
          <w:rFonts w:ascii="仿宋_GB2312" w:eastAsia="仿宋_GB2312" w:hAnsi="Times New Roman" w:cs="Times New Roman" w:hint="eastAsia"/>
          <w:color w:val="000000"/>
          <w:kern w:val="0"/>
          <w:sz w:val="32"/>
          <w:szCs w:val="32"/>
        </w:rPr>
        <w:t>的患者，而低毒性可长期维持治疗的靶</w:t>
      </w:r>
      <w:proofErr w:type="gramStart"/>
      <w:r w:rsidRPr="00AB7583">
        <w:rPr>
          <w:rFonts w:ascii="仿宋_GB2312" w:eastAsia="仿宋_GB2312" w:hAnsi="Times New Roman" w:cs="Times New Roman" w:hint="eastAsia"/>
          <w:color w:val="000000"/>
          <w:kern w:val="0"/>
          <w:sz w:val="32"/>
          <w:szCs w:val="32"/>
        </w:rPr>
        <w:t>向药物</w:t>
      </w:r>
      <w:proofErr w:type="gramEnd"/>
      <w:r w:rsidRPr="00AB7583">
        <w:rPr>
          <w:rFonts w:ascii="仿宋_GB2312" w:eastAsia="仿宋_GB2312" w:hAnsi="Times New Roman" w:cs="Times New Roman" w:hint="eastAsia"/>
          <w:color w:val="000000"/>
          <w:kern w:val="0"/>
          <w:sz w:val="32"/>
          <w:szCs w:val="32"/>
        </w:rPr>
        <w:t>或治疗方案则可选择身体状态欠佳或以改善预期寿命期间生活质量为治疗目标的老年患者。</w:t>
      </w:r>
    </w:p>
    <w:p w:rsidR="005C1E21" w:rsidRPr="00AB7583" w:rsidRDefault="00AB7583" w:rsidP="005C1E21">
      <w:pPr>
        <w:pStyle w:val="2"/>
        <w:spacing w:before="0" w:after="0" w:line="360" w:lineRule="auto"/>
        <w:rPr>
          <w:rFonts w:ascii="楷体_GB2312" w:eastAsia="楷体_GB2312"/>
          <w:b w:val="0"/>
          <w:szCs w:val="32"/>
        </w:rPr>
      </w:pPr>
      <w:bookmarkStart w:id="9" w:name="_Toc104979985"/>
      <w:r>
        <w:rPr>
          <w:rFonts w:ascii="楷体_GB2312" w:eastAsia="楷体_GB2312" w:hint="eastAsia"/>
          <w:b w:val="0"/>
          <w:szCs w:val="32"/>
        </w:rPr>
        <w:t>（三）</w:t>
      </w:r>
      <w:r w:rsidR="00517429" w:rsidRPr="00AB7583">
        <w:rPr>
          <w:rFonts w:ascii="楷体_GB2312" w:eastAsia="楷体_GB2312" w:hint="eastAsia"/>
          <w:b w:val="0"/>
          <w:szCs w:val="32"/>
        </w:rPr>
        <w:t>治疗人群的分层</w:t>
      </w:r>
      <w:bookmarkEnd w:id="9"/>
    </w:p>
    <w:p w:rsidR="006957E0" w:rsidRPr="00AB7583" w:rsidRDefault="002042F3" w:rsidP="00AB7583">
      <w:pPr>
        <w:spacing w:line="360" w:lineRule="auto"/>
        <w:ind w:firstLineChars="200" w:firstLine="640"/>
        <w:rPr>
          <w:rFonts w:ascii="仿宋_GB2312" w:eastAsia="仿宋_GB2312" w:hAnsi="Times New Roman" w:cs="Times New Roman"/>
          <w:color w:val="000000"/>
          <w:kern w:val="0"/>
          <w:sz w:val="32"/>
          <w:szCs w:val="32"/>
        </w:rPr>
      </w:pPr>
      <w:r w:rsidRPr="00AB7583">
        <w:rPr>
          <w:rFonts w:ascii="仿宋_GB2312" w:eastAsia="仿宋_GB2312" w:hAnsi="Times New Roman" w:cs="Times New Roman" w:hint="eastAsia"/>
          <w:color w:val="000000"/>
          <w:kern w:val="0"/>
          <w:sz w:val="32"/>
          <w:szCs w:val="32"/>
        </w:rPr>
        <w:t>确定</w:t>
      </w:r>
      <w:r w:rsidR="002E39B8" w:rsidRPr="00AB7583">
        <w:rPr>
          <w:rFonts w:ascii="仿宋_GB2312" w:eastAsia="仿宋_GB2312" w:hAnsi="Times New Roman" w:cs="Times New Roman" w:hint="eastAsia"/>
          <w:color w:val="000000"/>
          <w:kern w:val="0"/>
          <w:sz w:val="32"/>
          <w:szCs w:val="32"/>
        </w:rPr>
        <w:t>治疗指征</w:t>
      </w:r>
      <w:r w:rsidR="006957E0" w:rsidRPr="00AB7583">
        <w:rPr>
          <w:rFonts w:ascii="仿宋_GB2312" w:eastAsia="仿宋_GB2312" w:hAnsi="Times New Roman" w:cs="Times New Roman" w:hint="eastAsia"/>
          <w:color w:val="000000"/>
          <w:kern w:val="0"/>
          <w:sz w:val="32"/>
          <w:szCs w:val="32"/>
        </w:rPr>
        <w:t>和治疗目标</w:t>
      </w:r>
      <w:r w:rsidR="002E39B8" w:rsidRPr="00AB7583">
        <w:rPr>
          <w:rFonts w:ascii="仿宋_GB2312" w:eastAsia="仿宋_GB2312" w:hAnsi="Times New Roman" w:cs="Times New Roman" w:hint="eastAsia"/>
          <w:color w:val="000000"/>
          <w:kern w:val="0"/>
          <w:sz w:val="32"/>
          <w:szCs w:val="32"/>
        </w:rPr>
        <w:t>后，需</w:t>
      </w:r>
      <w:r w:rsidR="00A12CED" w:rsidRPr="00AB7583">
        <w:rPr>
          <w:rFonts w:ascii="仿宋_GB2312" w:eastAsia="仿宋_GB2312" w:hAnsi="Times New Roman" w:cs="Times New Roman" w:hint="eastAsia"/>
          <w:color w:val="000000"/>
          <w:kern w:val="0"/>
          <w:sz w:val="32"/>
          <w:szCs w:val="32"/>
        </w:rPr>
        <w:t>根据患者的</w:t>
      </w:r>
      <w:r w:rsidR="00746983" w:rsidRPr="00AB7583">
        <w:rPr>
          <w:rFonts w:ascii="仿宋_GB2312" w:eastAsia="仿宋_GB2312" w:hAnsi="Times New Roman" w:cs="Times New Roman" w:hint="eastAsia"/>
          <w:color w:val="000000"/>
          <w:kern w:val="0"/>
          <w:sz w:val="32"/>
          <w:szCs w:val="32"/>
        </w:rPr>
        <w:t>一般情况</w:t>
      </w:r>
      <w:r w:rsidR="00293B83" w:rsidRPr="00AB7583">
        <w:rPr>
          <w:rFonts w:ascii="仿宋_GB2312" w:eastAsia="仿宋_GB2312" w:hAnsi="Times New Roman" w:cs="Times New Roman" w:hint="eastAsia"/>
          <w:color w:val="000000"/>
          <w:kern w:val="0"/>
          <w:sz w:val="32"/>
          <w:szCs w:val="32"/>
        </w:rPr>
        <w:t>、生物学特征</w:t>
      </w:r>
      <w:r w:rsidR="0004111E" w:rsidRPr="00AB7583">
        <w:rPr>
          <w:rFonts w:ascii="仿宋_GB2312" w:eastAsia="仿宋_GB2312" w:hAnsi="Times New Roman" w:cs="Times New Roman" w:hint="eastAsia"/>
          <w:color w:val="000000"/>
          <w:kern w:val="0"/>
          <w:sz w:val="32"/>
          <w:szCs w:val="32"/>
        </w:rPr>
        <w:t>和治疗目标</w:t>
      </w:r>
      <w:r w:rsidR="00A12CED" w:rsidRPr="00AB7583">
        <w:rPr>
          <w:rFonts w:ascii="仿宋_GB2312" w:eastAsia="仿宋_GB2312" w:hAnsi="Times New Roman" w:cs="Times New Roman" w:hint="eastAsia"/>
          <w:color w:val="000000"/>
          <w:kern w:val="0"/>
          <w:sz w:val="32"/>
          <w:szCs w:val="32"/>
        </w:rPr>
        <w:t>进行分层治疗。</w:t>
      </w:r>
      <w:r w:rsidR="00293B83" w:rsidRPr="00AB7583">
        <w:rPr>
          <w:rFonts w:ascii="仿宋_GB2312" w:eastAsia="仿宋_GB2312" w:hAnsi="Times New Roman" w:cs="Times New Roman" w:hint="eastAsia"/>
          <w:color w:val="000000"/>
          <w:kern w:val="0"/>
          <w:sz w:val="32"/>
          <w:szCs w:val="32"/>
        </w:rPr>
        <w:t>具有某些生物学特征（例如del 17p、</w:t>
      </w:r>
      <w:r w:rsidR="005467DB" w:rsidRPr="00AB7583">
        <w:rPr>
          <w:rFonts w:ascii="仿宋_GB2312" w:eastAsia="仿宋_GB2312" w:hAnsi="Times New Roman" w:cs="Times New Roman"/>
          <w:color w:val="000000"/>
          <w:kern w:val="0"/>
          <w:sz w:val="32"/>
          <w:szCs w:val="32"/>
        </w:rPr>
        <w:t>TP53</w:t>
      </w:r>
      <w:r w:rsidR="00293B83" w:rsidRPr="00AB7583">
        <w:rPr>
          <w:rFonts w:ascii="仿宋_GB2312" w:eastAsia="仿宋_GB2312" w:hAnsi="Times New Roman" w:cs="Times New Roman" w:hint="eastAsia"/>
          <w:color w:val="000000"/>
          <w:kern w:val="0"/>
          <w:sz w:val="32"/>
          <w:szCs w:val="32"/>
        </w:rPr>
        <w:t>突变）的患者通常对化疗反应不佳而对新的治疗手段有更大的临床需求。</w:t>
      </w:r>
      <w:r w:rsidR="00A12CED" w:rsidRPr="00AB7583">
        <w:rPr>
          <w:rFonts w:ascii="仿宋_GB2312" w:eastAsia="仿宋_GB2312" w:hAnsi="Times New Roman" w:cs="Times New Roman" w:hint="eastAsia"/>
          <w:color w:val="000000"/>
          <w:kern w:val="0"/>
          <w:sz w:val="32"/>
          <w:szCs w:val="32"/>
        </w:rPr>
        <w:t>CLL患者多为7</w:t>
      </w:r>
      <w:r w:rsidR="00A12CED" w:rsidRPr="00AB7583">
        <w:rPr>
          <w:rFonts w:ascii="仿宋_GB2312" w:eastAsia="仿宋_GB2312" w:hAnsi="Times New Roman" w:cs="Times New Roman"/>
          <w:color w:val="000000"/>
          <w:kern w:val="0"/>
          <w:sz w:val="32"/>
          <w:szCs w:val="32"/>
        </w:rPr>
        <w:t>0</w:t>
      </w:r>
      <w:r w:rsidR="00A12CED" w:rsidRPr="00AB7583">
        <w:rPr>
          <w:rFonts w:ascii="仿宋_GB2312" w:eastAsia="仿宋_GB2312" w:hAnsi="Times New Roman" w:cs="Times New Roman" w:hint="eastAsia"/>
          <w:color w:val="000000"/>
          <w:kern w:val="0"/>
          <w:sz w:val="32"/>
          <w:szCs w:val="32"/>
        </w:rPr>
        <w:t>周岁以上的老年</w:t>
      </w:r>
      <w:r w:rsidR="002E39B8" w:rsidRPr="00AB7583">
        <w:rPr>
          <w:rFonts w:ascii="仿宋_GB2312" w:eastAsia="仿宋_GB2312" w:hAnsi="Times New Roman" w:cs="Times New Roman" w:hint="eastAsia"/>
          <w:color w:val="000000"/>
          <w:kern w:val="0"/>
          <w:sz w:val="32"/>
          <w:szCs w:val="32"/>
        </w:rPr>
        <w:t>人</w:t>
      </w:r>
      <w:r w:rsidR="00A12CED" w:rsidRPr="00AB7583">
        <w:rPr>
          <w:rFonts w:ascii="仿宋_GB2312" w:eastAsia="仿宋_GB2312" w:hAnsi="Times New Roman" w:cs="Times New Roman" w:hint="eastAsia"/>
          <w:color w:val="000000"/>
          <w:kern w:val="0"/>
          <w:sz w:val="32"/>
          <w:szCs w:val="32"/>
        </w:rPr>
        <w:t>，</w:t>
      </w:r>
      <w:r w:rsidR="0028414A" w:rsidRPr="00AB7583">
        <w:rPr>
          <w:rFonts w:ascii="仿宋_GB2312" w:eastAsia="仿宋_GB2312" w:hAnsi="Times New Roman" w:cs="Times New Roman" w:hint="eastAsia"/>
          <w:color w:val="000000"/>
          <w:kern w:val="0"/>
          <w:sz w:val="32"/>
          <w:szCs w:val="32"/>
        </w:rPr>
        <w:t>临床实践中影响治疗决策的因素较多</w:t>
      </w:r>
      <w:r w:rsidR="00630ACD" w:rsidRPr="00AB7583">
        <w:rPr>
          <w:rFonts w:ascii="仿宋_GB2312" w:eastAsia="仿宋_GB2312" w:hAnsi="Times New Roman" w:cs="Times New Roman" w:hint="eastAsia"/>
          <w:color w:val="000000"/>
          <w:kern w:val="0"/>
          <w:sz w:val="32"/>
          <w:szCs w:val="32"/>
        </w:rPr>
        <w:t>，</w:t>
      </w:r>
      <w:r w:rsidR="00183FF9" w:rsidRPr="00AB7583">
        <w:rPr>
          <w:rFonts w:ascii="仿宋_GB2312" w:eastAsia="仿宋_GB2312" w:hAnsi="Times New Roman" w:cs="Times New Roman" w:hint="eastAsia"/>
          <w:color w:val="000000"/>
          <w:kern w:val="0"/>
          <w:sz w:val="32"/>
          <w:szCs w:val="32"/>
        </w:rPr>
        <w:t>为了提高</w:t>
      </w:r>
      <w:r w:rsidR="0028414A" w:rsidRPr="00AB7583">
        <w:rPr>
          <w:rFonts w:ascii="仿宋_GB2312" w:eastAsia="仿宋_GB2312" w:hAnsi="Times New Roman" w:cs="Times New Roman" w:hint="eastAsia"/>
          <w:color w:val="000000"/>
          <w:kern w:val="0"/>
          <w:sz w:val="32"/>
          <w:szCs w:val="32"/>
        </w:rPr>
        <w:t>临床试验</w:t>
      </w:r>
      <w:r w:rsidR="00183FF9" w:rsidRPr="00AB7583">
        <w:rPr>
          <w:rFonts w:ascii="仿宋_GB2312" w:eastAsia="仿宋_GB2312" w:hAnsi="Times New Roman" w:cs="Times New Roman" w:hint="eastAsia"/>
          <w:color w:val="000000"/>
          <w:kern w:val="0"/>
          <w:sz w:val="32"/>
          <w:szCs w:val="32"/>
        </w:rPr>
        <w:t>筛查受试者的可操作性</w:t>
      </w:r>
      <w:r w:rsidR="0028414A" w:rsidRPr="00AB7583">
        <w:rPr>
          <w:rFonts w:ascii="仿宋_GB2312" w:eastAsia="仿宋_GB2312" w:hAnsi="Times New Roman" w:cs="Times New Roman" w:hint="eastAsia"/>
          <w:color w:val="000000"/>
          <w:kern w:val="0"/>
          <w:sz w:val="32"/>
          <w:szCs w:val="32"/>
        </w:rPr>
        <w:t>，</w:t>
      </w:r>
      <w:r w:rsidR="00630ACD" w:rsidRPr="00AB7583">
        <w:rPr>
          <w:rFonts w:ascii="仿宋_GB2312" w:eastAsia="仿宋_GB2312" w:hAnsi="Times New Roman" w:cs="Times New Roman" w:hint="eastAsia"/>
          <w:color w:val="000000"/>
          <w:kern w:val="0"/>
          <w:sz w:val="32"/>
          <w:szCs w:val="32"/>
        </w:rPr>
        <w:t>应在入组前</w:t>
      </w:r>
      <w:r w:rsidR="0028414A" w:rsidRPr="00AB7583">
        <w:rPr>
          <w:rFonts w:ascii="仿宋_GB2312" w:eastAsia="仿宋_GB2312" w:hAnsi="Times New Roman" w:cs="Times New Roman" w:hint="eastAsia"/>
          <w:color w:val="000000"/>
          <w:kern w:val="0"/>
          <w:sz w:val="32"/>
          <w:szCs w:val="32"/>
        </w:rPr>
        <w:t>结合患者的年龄和</w:t>
      </w:r>
      <w:r w:rsidRPr="00AB7583">
        <w:rPr>
          <w:rFonts w:ascii="仿宋_GB2312" w:eastAsia="仿宋_GB2312" w:hAnsi="Times New Roman" w:cs="Times New Roman" w:hint="eastAsia"/>
          <w:color w:val="000000"/>
          <w:kern w:val="0"/>
          <w:sz w:val="32"/>
          <w:szCs w:val="32"/>
        </w:rPr>
        <w:t>健康状态评估结果</w:t>
      </w:r>
      <w:r w:rsidR="00183FF9" w:rsidRPr="00AB7583">
        <w:rPr>
          <w:rFonts w:ascii="仿宋_GB2312" w:eastAsia="仿宋_GB2312" w:hAnsi="Times New Roman" w:cs="Times New Roman" w:hint="eastAsia"/>
          <w:color w:val="000000"/>
          <w:kern w:val="0"/>
          <w:sz w:val="32"/>
          <w:szCs w:val="32"/>
        </w:rPr>
        <w:t>判断患者大致属于哪个治疗分层。</w:t>
      </w:r>
      <w:r w:rsidR="009035EE" w:rsidRPr="00AB7583">
        <w:rPr>
          <w:rFonts w:ascii="仿宋_GB2312" w:eastAsia="仿宋_GB2312" w:hAnsi="Times New Roman" w:cs="Times New Roman" w:hint="eastAsia"/>
          <w:color w:val="000000"/>
          <w:kern w:val="0"/>
          <w:sz w:val="32"/>
          <w:szCs w:val="32"/>
        </w:rPr>
        <w:t>虽然年龄不是决定患者</w:t>
      </w:r>
      <w:r w:rsidRPr="00AB7583">
        <w:rPr>
          <w:rFonts w:ascii="仿宋_GB2312" w:eastAsia="仿宋_GB2312" w:hAnsi="Times New Roman" w:cs="Times New Roman" w:hint="eastAsia"/>
          <w:color w:val="000000"/>
          <w:kern w:val="0"/>
          <w:sz w:val="32"/>
          <w:szCs w:val="32"/>
        </w:rPr>
        <w:t>身体状态</w:t>
      </w:r>
      <w:r w:rsidR="009035EE" w:rsidRPr="00AB7583">
        <w:rPr>
          <w:rFonts w:ascii="仿宋_GB2312" w:eastAsia="仿宋_GB2312" w:hAnsi="Times New Roman" w:cs="Times New Roman" w:hint="eastAsia"/>
          <w:color w:val="000000"/>
          <w:kern w:val="0"/>
          <w:sz w:val="32"/>
          <w:szCs w:val="32"/>
        </w:rPr>
        <w:t>的唯一因素，但年龄增长使个体对治疗的耐受程度呈现下降趋势，且与更多的合并症、器官功能受损、认知障碍存在相关性</w:t>
      </w:r>
      <w:r w:rsidR="00FB428E" w:rsidRPr="00AB7583">
        <w:rPr>
          <w:rFonts w:ascii="仿宋_GB2312" w:eastAsia="仿宋_GB2312" w:hAnsi="Times New Roman" w:cs="Times New Roman" w:hint="eastAsia"/>
          <w:color w:val="000000"/>
          <w:kern w:val="0"/>
          <w:sz w:val="32"/>
          <w:szCs w:val="32"/>
        </w:rPr>
        <w:t>。</w:t>
      </w:r>
      <w:r w:rsidR="002E39B8" w:rsidRPr="00AB7583">
        <w:rPr>
          <w:rFonts w:ascii="仿宋_GB2312" w:eastAsia="仿宋_GB2312" w:hAnsi="Times New Roman" w:cs="Times New Roman" w:hint="eastAsia"/>
          <w:color w:val="000000"/>
          <w:kern w:val="0"/>
          <w:sz w:val="32"/>
          <w:szCs w:val="32"/>
        </w:rPr>
        <w:t>各国</w:t>
      </w:r>
      <w:r w:rsidR="007D2387" w:rsidRPr="00AB7583">
        <w:rPr>
          <w:rFonts w:ascii="仿宋_GB2312" w:eastAsia="仿宋_GB2312" w:hAnsi="Times New Roman" w:cs="Times New Roman" w:hint="eastAsia"/>
          <w:color w:val="000000"/>
          <w:kern w:val="0"/>
          <w:sz w:val="32"/>
          <w:szCs w:val="32"/>
        </w:rPr>
        <w:t>对</w:t>
      </w:r>
      <w:r w:rsidR="002E39B8" w:rsidRPr="00AB7583">
        <w:rPr>
          <w:rFonts w:ascii="仿宋_GB2312" w:eastAsia="仿宋_GB2312" w:hAnsi="Times New Roman" w:cs="Times New Roman" w:hint="eastAsia"/>
          <w:color w:val="000000"/>
          <w:kern w:val="0"/>
          <w:sz w:val="32"/>
          <w:szCs w:val="32"/>
        </w:rPr>
        <w:t>“</w:t>
      </w:r>
      <w:r w:rsidR="007D2387" w:rsidRPr="00AB7583">
        <w:rPr>
          <w:rFonts w:ascii="仿宋_GB2312" w:eastAsia="仿宋_GB2312" w:hAnsi="Times New Roman" w:cs="Times New Roman" w:hint="eastAsia"/>
          <w:color w:val="000000"/>
          <w:kern w:val="0"/>
          <w:sz w:val="32"/>
          <w:szCs w:val="32"/>
        </w:rPr>
        <w:t>老年</w:t>
      </w:r>
      <w:r w:rsidR="002E39B8" w:rsidRPr="00AB7583">
        <w:rPr>
          <w:rFonts w:ascii="仿宋_GB2312" w:eastAsia="仿宋_GB2312" w:hAnsi="Times New Roman" w:cs="Times New Roman" w:hint="eastAsia"/>
          <w:color w:val="000000"/>
          <w:kern w:val="0"/>
          <w:sz w:val="32"/>
          <w:szCs w:val="32"/>
        </w:rPr>
        <w:t>”</w:t>
      </w:r>
      <w:r w:rsidR="007D2387" w:rsidRPr="00AB7583">
        <w:rPr>
          <w:rFonts w:ascii="仿宋_GB2312" w:eastAsia="仿宋_GB2312" w:hAnsi="Times New Roman" w:cs="Times New Roman" w:hint="eastAsia"/>
          <w:color w:val="000000"/>
          <w:kern w:val="0"/>
          <w:sz w:val="32"/>
          <w:szCs w:val="32"/>
        </w:rPr>
        <w:t>的定</w:t>
      </w:r>
      <w:r w:rsidR="007D2387" w:rsidRPr="00AB7583">
        <w:rPr>
          <w:rFonts w:ascii="仿宋_GB2312" w:eastAsia="仿宋_GB2312" w:hAnsi="Times New Roman" w:cs="Times New Roman" w:hint="eastAsia"/>
          <w:color w:val="000000"/>
          <w:kern w:val="0"/>
          <w:sz w:val="32"/>
          <w:szCs w:val="32"/>
        </w:rPr>
        <w:lastRenderedPageBreak/>
        <w:t>义有所不同</w:t>
      </w:r>
      <w:r w:rsidR="007D2387" w:rsidRPr="00EC073B">
        <w:rPr>
          <w:rFonts w:ascii="仿宋_GB2312" w:eastAsia="仿宋_GB2312" w:hAnsi="Times New Roman" w:cs="Times New Roman" w:hint="eastAsia"/>
          <w:color w:val="000000"/>
          <w:kern w:val="0"/>
          <w:sz w:val="32"/>
          <w:szCs w:val="32"/>
          <w:vertAlign w:val="superscript"/>
        </w:rPr>
        <w:t>[4]</w:t>
      </w:r>
      <w:r w:rsidR="007D2387" w:rsidRPr="00AB7583">
        <w:rPr>
          <w:rFonts w:ascii="仿宋_GB2312" w:eastAsia="仿宋_GB2312" w:hAnsi="Times New Roman" w:cs="Times New Roman" w:hint="eastAsia"/>
          <w:color w:val="000000"/>
          <w:kern w:val="0"/>
          <w:sz w:val="32"/>
          <w:szCs w:val="32"/>
        </w:rPr>
        <w:t>，但CLL的治疗中</w:t>
      </w:r>
      <w:r w:rsidR="005E1D9D" w:rsidRPr="00AB7583">
        <w:rPr>
          <w:rFonts w:ascii="仿宋_GB2312" w:eastAsia="仿宋_GB2312" w:hAnsi="Times New Roman" w:cs="Times New Roman" w:hint="eastAsia"/>
          <w:color w:val="000000"/>
          <w:kern w:val="0"/>
          <w:sz w:val="32"/>
          <w:szCs w:val="32"/>
        </w:rPr>
        <w:t>一般认为年龄</w:t>
      </w:r>
      <w:r w:rsidR="001A08A2" w:rsidRPr="00AB7583">
        <w:rPr>
          <w:rFonts w:ascii="仿宋_GB2312" w:eastAsia="仿宋_GB2312" w:hAnsi="Times New Roman" w:cs="Times New Roman" w:hint="eastAsia"/>
          <w:color w:val="000000"/>
          <w:kern w:val="0"/>
          <w:sz w:val="32"/>
          <w:szCs w:val="32"/>
        </w:rPr>
        <w:t>＜</w:t>
      </w:r>
      <w:r w:rsidR="00B21D72" w:rsidRPr="00AB7583">
        <w:rPr>
          <w:rFonts w:ascii="仿宋_GB2312" w:eastAsia="仿宋_GB2312" w:hAnsi="Times New Roman" w:cs="Times New Roman" w:hint="eastAsia"/>
          <w:color w:val="000000"/>
          <w:kern w:val="0"/>
          <w:sz w:val="32"/>
          <w:szCs w:val="32"/>
        </w:rPr>
        <w:t>6</w:t>
      </w:r>
      <w:r w:rsidR="00B21D72" w:rsidRPr="00AB7583">
        <w:rPr>
          <w:rFonts w:ascii="仿宋_GB2312" w:eastAsia="仿宋_GB2312" w:hAnsi="Times New Roman" w:cs="Times New Roman"/>
          <w:color w:val="000000"/>
          <w:kern w:val="0"/>
          <w:sz w:val="32"/>
          <w:szCs w:val="32"/>
        </w:rPr>
        <w:t>5</w:t>
      </w:r>
      <w:r w:rsidR="00B21D72" w:rsidRPr="00AB7583">
        <w:rPr>
          <w:rFonts w:ascii="仿宋_GB2312" w:eastAsia="仿宋_GB2312" w:hAnsi="Times New Roman" w:cs="Times New Roman" w:hint="eastAsia"/>
          <w:color w:val="000000"/>
          <w:kern w:val="0"/>
          <w:sz w:val="32"/>
          <w:szCs w:val="32"/>
        </w:rPr>
        <w:t>周岁</w:t>
      </w:r>
      <w:r w:rsidR="007D2387" w:rsidRPr="00EC073B">
        <w:rPr>
          <w:rFonts w:ascii="仿宋_GB2312" w:eastAsia="仿宋_GB2312" w:hAnsi="Times New Roman" w:cs="Times New Roman" w:hint="eastAsia"/>
          <w:color w:val="000000"/>
          <w:kern w:val="0"/>
          <w:sz w:val="32"/>
          <w:szCs w:val="32"/>
          <w:vertAlign w:val="superscript"/>
        </w:rPr>
        <w:t>[3]</w:t>
      </w:r>
      <w:r w:rsidR="001A08A2" w:rsidRPr="00AB7583">
        <w:rPr>
          <w:rFonts w:ascii="仿宋_GB2312" w:eastAsia="仿宋_GB2312" w:hAnsi="Times New Roman" w:cs="Times New Roman" w:hint="eastAsia"/>
          <w:color w:val="000000"/>
          <w:kern w:val="0"/>
          <w:sz w:val="32"/>
          <w:szCs w:val="32"/>
        </w:rPr>
        <w:t>代表</w:t>
      </w:r>
      <w:r w:rsidR="0004111E" w:rsidRPr="00AB7583">
        <w:rPr>
          <w:rFonts w:ascii="仿宋_GB2312" w:eastAsia="仿宋_GB2312" w:hAnsi="Times New Roman" w:cs="Times New Roman" w:hint="eastAsia"/>
          <w:color w:val="000000"/>
          <w:kern w:val="0"/>
          <w:sz w:val="32"/>
          <w:szCs w:val="32"/>
        </w:rPr>
        <w:t>对高强度治疗具有相对良好的耐受能力，且对深度</w:t>
      </w:r>
      <w:r w:rsidR="00215C26" w:rsidRPr="00AB7583">
        <w:rPr>
          <w:rFonts w:ascii="仿宋_GB2312" w:eastAsia="仿宋_GB2312" w:hAnsi="Times New Roman" w:cs="Times New Roman" w:hint="eastAsia"/>
          <w:color w:val="000000"/>
          <w:kern w:val="0"/>
          <w:sz w:val="32"/>
          <w:szCs w:val="32"/>
        </w:rPr>
        <w:t>或持久</w:t>
      </w:r>
      <w:r w:rsidR="0004111E" w:rsidRPr="00AB7583">
        <w:rPr>
          <w:rFonts w:ascii="仿宋_GB2312" w:eastAsia="仿宋_GB2312" w:hAnsi="Times New Roman" w:cs="Times New Roman" w:hint="eastAsia"/>
          <w:color w:val="000000"/>
          <w:kern w:val="0"/>
          <w:sz w:val="32"/>
          <w:szCs w:val="32"/>
        </w:rPr>
        <w:t>缓解的治疗需求更大，而≥</w:t>
      </w:r>
      <w:r w:rsidR="00746983" w:rsidRPr="00AB7583">
        <w:rPr>
          <w:rFonts w:ascii="仿宋_GB2312" w:eastAsia="仿宋_GB2312" w:hAnsi="Times New Roman" w:cs="Times New Roman" w:hint="eastAsia"/>
          <w:color w:val="000000"/>
          <w:kern w:val="0"/>
          <w:sz w:val="32"/>
          <w:szCs w:val="32"/>
        </w:rPr>
        <w:t>6</w:t>
      </w:r>
      <w:r w:rsidR="0004111E" w:rsidRPr="00AB7583">
        <w:rPr>
          <w:rFonts w:ascii="仿宋_GB2312" w:eastAsia="仿宋_GB2312" w:hAnsi="Times New Roman" w:cs="Times New Roman"/>
          <w:color w:val="000000"/>
          <w:kern w:val="0"/>
          <w:sz w:val="32"/>
          <w:szCs w:val="32"/>
        </w:rPr>
        <w:t>5</w:t>
      </w:r>
      <w:r w:rsidR="0004111E" w:rsidRPr="00AB7583">
        <w:rPr>
          <w:rFonts w:ascii="仿宋_GB2312" w:eastAsia="仿宋_GB2312" w:hAnsi="Times New Roman" w:cs="Times New Roman" w:hint="eastAsia"/>
          <w:color w:val="000000"/>
          <w:kern w:val="0"/>
          <w:sz w:val="32"/>
          <w:szCs w:val="32"/>
        </w:rPr>
        <w:t>周岁</w:t>
      </w:r>
      <w:r w:rsidR="00746983" w:rsidRPr="00AB7583">
        <w:rPr>
          <w:rFonts w:ascii="仿宋_GB2312" w:eastAsia="仿宋_GB2312" w:hAnsi="Times New Roman" w:cs="Times New Roman" w:hint="eastAsia"/>
          <w:color w:val="000000"/>
          <w:kern w:val="0"/>
          <w:sz w:val="32"/>
          <w:szCs w:val="32"/>
        </w:rPr>
        <w:t>的患者需要根据其身体状态来选择治疗方案。</w:t>
      </w:r>
      <w:r w:rsidR="003E7BE2" w:rsidRPr="00AB7583">
        <w:rPr>
          <w:rFonts w:ascii="仿宋_GB2312" w:eastAsia="仿宋_GB2312" w:hAnsi="Times New Roman" w:cs="Times New Roman" w:hint="eastAsia"/>
          <w:color w:val="000000"/>
          <w:kern w:val="0"/>
          <w:sz w:val="32"/>
          <w:szCs w:val="32"/>
        </w:rPr>
        <w:t>如何综合判断患者的身体健康状态，在血液系统恶性肿瘤中仍然存在需要探索的空间，借助合适的老年人健康评估工具是</w:t>
      </w:r>
      <w:r w:rsidR="00E7081D" w:rsidRPr="00AB7583">
        <w:rPr>
          <w:rFonts w:ascii="仿宋_GB2312" w:eastAsia="仿宋_GB2312" w:hAnsi="Times New Roman" w:cs="Times New Roman" w:hint="eastAsia"/>
          <w:color w:val="000000"/>
          <w:kern w:val="0"/>
          <w:sz w:val="32"/>
          <w:szCs w:val="32"/>
        </w:rPr>
        <w:t>判断患者身体状态的</w:t>
      </w:r>
      <w:r w:rsidR="003E7BE2" w:rsidRPr="00AB7583">
        <w:rPr>
          <w:rFonts w:ascii="仿宋_GB2312" w:eastAsia="仿宋_GB2312" w:hAnsi="Times New Roman" w:cs="Times New Roman" w:hint="eastAsia"/>
          <w:color w:val="000000"/>
          <w:kern w:val="0"/>
          <w:sz w:val="32"/>
          <w:szCs w:val="32"/>
        </w:rPr>
        <w:t xml:space="preserve">常用手段，老年疾病累计评分法（cumulative illness rating scale for </w:t>
      </w:r>
      <w:r w:rsidR="00A2057E" w:rsidRPr="00AB7583">
        <w:rPr>
          <w:rFonts w:ascii="仿宋_GB2312" w:eastAsia="仿宋_GB2312" w:hAnsi="Times New Roman" w:cs="Times New Roman"/>
          <w:color w:val="000000"/>
          <w:kern w:val="0"/>
          <w:sz w:val="32"/>
          <w:szCs w:val="32"/>
        </w:rPr>
        <w:t>geriatrics</w:t>
      </w:r>
      <w:r w:rsidR="003E7BE2" w:rsidRPr="00AB7583">
        <w:rPr>
          <w:rFonts w:ascii="仿宋_GB2312" w:eastAsia="仿宋_GB2312" w:hAnsi="Times New Roman" w:cs="Times New Roman" w:hint="eastAsia"/>
          <w:color w:val="000000"/>
          <w:kern w:val="0"/>
          <w:sz w:val="32"/>
          <w:szCs w:val="32"/>
        </w:rPr>
        <w:t>，CIRS-G）是CLL临床试验中较为常用的评估工具</w:t>
      </w:r>
      <w:r w:rsidR="003E7BE2" w:rsidRPr="00EC073B">
        <w:rPr>
          <w:rFonts w:ascii="仿宋_GB2312" w:eastAsia="仿宋_GB2312" w:hAnsi="Times New Roman" w:cs="Times New Roman" w:hint="eastAsia"/>
          <w:color w:val="000000"/>
          <w:kern w:val="0"/>
          <w:sz w:val="32"/>
          <w:szCs w:val="32"/>
          <w:vertAlign w:val="superscript"/>
        </w:rPr>
        <w:t>[1, 5]</w:t>
      </w:r>
      <w:r w:rsidR="00322B7A" w:rsidRPr="00AB7583">
        <w:rPr>
          <w:rFonts w:ascii="仿宋_GB2312" w:eastAsia="仿宋_GB2312" w:hAnsi="Times New Roman" w:cs="Times New Roman" w:hint="eastAsia"/>
          <w:color w:val="000000"/>
          <w:kern w:val="0"/>
          <w:sz w:val="32"/>
          <w:szCs w:val="32"/>
        </w:rPr>
        <w:t>，但是这些已经在西方人群中与死亡、残疾或住院等重要事件之间有良好相关性的工具，在中国人群中</w:t>
      </w:r>
      <w:r w:rsidR="005B1C60" w:rsidRPr="00AB7583">
        <w:rPr>
          <w:rFonts w:ascii="仿宋_GB2312" w:eastAsia="仿宋_GB2312" w:hAnsi="Times New Roman" w:cs="Times New Roman" w:hint="eastAsia"/>
          <w:color w:val="000000"/>
          <w:kern w:val="0"/>
          <w:sz w:val="32"/>
          <w:szCs w:val="32"/>
        </w:rPr>
        <w:t>多数缺乏科学严谨的</w:t>
      </w:r>
      <w:r w:rsidR="00322B7A" w:rsidRPr="00AB7583">
        <w:rPr>
          <w:rFonts w:ascii="仿宋_GB2312" w:eastAsia="仿宋_GB2312" w:hAnsi="Times New Roman" w:cs="Times New Roman" w:hint="eastAsia"/>
          <w:color w:val="000000"/>
          <w:kern w:val="0"/>
          <w:sz w:val="32"/>
          <w:szCs w:val="32"/>
        </w:rPr>
        <w:t>验证</w:t>
      </w:r>
      <w:r w:rsidR="005B1C60" w:rsidRPr="00AB7583">
        <w:rPr>
          <w:rFonts w:ascii="仿宋_GB2312" w:eastAsia="仿宋_GB2312" w:hAnsi="Times New Roman" w:cs="Times New Roman" w:hint="eastAsia"/>
          <w:color w:val="000000"/>
          <w:kern w:val="0"/>
          <w:sz w:val="32"/>
          <w:szCs w:val="32"/>
        </w:rPr>
        <w:t>研究</w:t>
      </w:r>
      <w:r w:rsidR="003E7BE2" w:rsidRPr="00AB7583">
        <w:rPr>
          <w:rFonts w:ascii="仿宋_GB2312" w:eastAsia="仿宋_GB2312" w:hAnsi="Times New Roman" w:cs="Times New Roman" w:hint="eastAsia"/>
          <w:color w:val="000000"/>
          <w:kern w:val="0"/>
          <w:sz w:val="32"/>
          <w:szCs w:val="32"/>
        </w:rPr>
        <w:t>。</w:t>
      </w:r>
    </w:p>
    <w:p w:rsidR="00517429" w:rsidRPr="00AB7583" w:rsidRDefault="00AB7583" w:rsidP="00517429">
      <w:pPr>
        <w:pStyle w:val="2"/>
        <w:spacing w:before="0" w:after="0" w:line="360" w:lineRule="auto"/>
        <w:rPr>
          <w:rFonts w:ascii="楷体_GB2312" w:eastAsia="楷体_GB2312"/>
          <w:b w:val="0"/>
          <w:szCs w:val="32"/>
        </w:rPr>
      </w:pPr>
      <w:bookmarkStart w:id="10" w:name="_Toc104979986"/>
      <w:r>
        <w:rPr>
          <w:rFonts w:ascii="楷体_GB2312" w:eastAsia="楷体_GB2312" w:hint="eastAsia"/>
          <w:b w:val="0"/>
          <w:szCs w:val="32"/>
        </w:rPr>
        <w:t>（四）</w:t>
      </w:r>
      <w:r w:rsidR="00517429" w:rsidRPr="00AB7583">
        <w:rPr>
          <w:rFonts w:ascii="楷体_GB2312" w:eastAsia="楷体_GB2312" w:hint="eastAsia"/>
          <w:b w:val="0"/>
          <w:szCs w:val="32"/>
        </w:rPr>
        <w:t>其他考虑</w:t>
      </w:r>
      <w:bookmarkEnd w:id="10"/>
    </w:p>
    <w:p w:rsidR="00D92AD1" w:rsidRPr="00AB7583" w:rsidRDefault="0090275B" w:rsidP="00AB7583">
      <w:pPr>
        <w:spacing w:line="360" w:lineRule="auto"/>
        <w:ind w:firstLineChars="200" w:firstLine="640"/>
        <w:rPr>
          <w:rFonts w:ascii="仿宋_GB2312" w:eastAsia="仿宋_GB2312" w:hAnsi="Times New Roman" w:cs="Times New Roman"/>
          <w:color w:val="000000"/>
          <w:kern w:val="0"/>
          <w:sz w:val="32"/>
          <w:szCs w:val="32"/>
        </w:rPr>
      </w:pPr>
      <w:r w:rsidRPr="00AB7583">
        <w:rPr>
          <w:rFonts w:ascii="仿宋_GB2312" w:eastAsia="仿宋_GB2312" w:hAnsi="Times New Roman" w:cs="Times New Roman" w:hint="eastAsia"/>
          <w:color w:val="000000"/>
          <w:kern w:val="0"/>
          <w:sz w:val="32"/>
          <w:szCs w:val="32"/>
        </w:rPr>
        <w:t>针对老年患者易伴有认知障碍的特点，应提供与之年龄特点相称的知情同意书，必要时应该同时提供需监护人签署的知情同意书。</w:t>
      </w:r>
    </w:p>
    <w:p w:rsidR="00B90F61" w:rsidRPr="00AB7583" w:rsidRDefault="00CC0DAB" w:rsidP="00CC0DAB">
      <w:pPr>
        <w:pStyle w:val="1"/>
        <w:numPr>
          <w:ilvl w:val="255"/>
          <w:numId w:val="0"/>
        </w:numPr>
        <w:spacing w:before="200" w:after="200" w:line="360" w:lineRule="auto"/>
        <w:rPr>
          <w:rFonts w:ascii="Times New Roman" w:eastAsia="黑体" w:hAnsi="Times New Roman" w:cs="Times New Roman"/>
          <w:b w:val="0"/>
          <w:color w:val="000000"/>
          <w:kern w:val="0"/>
          <w:sz w:val="32"/>
          <w:szCs w:val="32"/>
        </w:rPr>
      </w:pPr>
      <w:bookmarkStart w:id="11" w:name="_Toc104979987"/>
      <w:r w:rsidRPr="00AB7583">
        <w:rPr>
          <w:rFonts w:ascii="Times New Roman" w:eastAsia="黑体" w:hAnsi="Times New Roman" w:cs="Times New Roman" w:hint="eastAsia"/>
          <w:b w:val="0"/>
          <w:color w:val="000000"/>
          <w:kern w:val="0"/>
          <w:sz w:val="32"/>
          <w:szCs w:val="32"/>
        </w:rPr>
        <w:t>三、剂量探索</w:t>
      </w:r>
      <w:bookmarkEnd w:id="11"/>
    </w:p>
    <w:p w:rsidR="00CD493D" w:rsidRPr="00E421F6" w:rsidRDefault="009D63EB"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抗肿瘤创新药的早期研究（尤其剂量递增阶段）</w:t>
      </w:r>
      <w:r w:rsidR="003578F2" w:rsidRPr="00E421F6">
        <w:rPr>
          <w:rFonts w:ascii="仿宋_GB2312" w:eastAsia="仿宋_GB2312" w:hAnsi="Times New Roman" w:cs="Times New Roman" w:hint="eastAsia"/>
          <w:color w:val="000000"/>
          <w:kern w:val="0"/>
          <w:sz w:val="32"/>
          <w:szCs w:val="32"/>
        </w:rPr>
        <w:t>通常</w:t>
      </w:r>
      <w:r w:rsidR="00082E5B" w:rsidRPr="00E421F6">
        <w:rPr>
          <w:rFonts w:ascii="仿宋_GB2312" w:eastAsia="仿宋_GB2312" w:hAnsi="Times New Roman" w:cs="Times New Roman" w:hint="eastAsia"/>
          <w:color w:val="000000"/>
          <w:kern w:val="0"/>
          <w:sz w:val="32"/>
          <w:szCs w:val="32"/>
        </w:rPr>
        <w:t>会选择</w:t>
      </w:r>
      <w:r w:rsidR="001E6A66" w:rsidRPr="00E421F6">
        <w:rPr>
          <w:rFonts w:ascii="仿宋_GB2312" w:eastAsia="仿宋_GB2312" w:hAnsi="Times New Roman" w:cs="Times New Roman" w:hint="eastAsia"/>
          <w:color w:val="000000"/>
          <w:kern w:val="0"/>
          <w:sz w:val="32"/>
          <w:szCs w:val="32"/>
        </w:rPr>
        <w:t>相对年轻或</w:t>
      </w:r>
      <w:r w:rsidR="000B1A49" w:rsidRPr="00E421F6">
        <w:rPr>
          <w:rFonts w:ascii="仿宋_GB2312" w:eastAsia="仿宋_GB2312" w:hAnsi="Times New Roman" w:cs="Times New Roman" w:hint="eastAsia"/>
          <w:color w:val="000000"/>
          <w:kern w:val="0"/>
          <w:sz w:val="32"/>
          <w:szCs w:val="32"/>
        </w:rPr>
        <w:t>体力状况评分较好的患者</w:t>
      </w:r>
      <w:r w:rsidR="00D3651C" w:rsidRPr="00E421F6">
        <w:rPr>
          <w:rFonts w:ascii="仿宋_GB2312" w:eastAsia="仿宋_GB2312" w:hAnsi="Times New Roman" w:cs="Times New Roman" w:hint="eastAsia"/>
          <w:color w:val="000000"/>
          <w:kern w:val="0"/>
          <w:sz w:val="32"/>
          <w:szCs w:val="32"/>
        </w:rPr>
        <w:t>/健康志愿者</w:t>
      </w:r>
      <w:r w:rsidR="00CD493D" w:rsidRPr="00E421F6">
        <w:rPr>
          <w:rFonts w:ascii="仿宋_GB2312" w:eastAsia="仿宋_GB2312" w:hAnsi="Times New Roman" w:cs="Times New Roman" w:hint="eastAsia"/>
          <w:color w:val="000000"/>
          <w:kern w:val="0"/>
          <w:sz w:val="32"/>
          <w:szCs w:val="32"/>
        </w:rPr>
        <w:t>进行剂量探索</w:t>
      </w:r>
      <w:r w:rsidR="000B1A49" w:rsidRPr="00E421F6">
        <w:rPr>
          <w:rFonts w:ascii="仿宋_GB2312" w:eastAsia="仿宋_GB2312" w:hAnsi="Times New Roman" w:cs="Times New Roman" w:hint="eastAsia"/>
          <w:color w:val="000000"/>
          <w:kern w:val="0"/>
          <w:sz w:val="32"/>
          <w:szCs w:val="32"/>
        </w:rPr>
        <w:t>，在以CLL为目标适应症时</w:t>
      </w:r>
      <w:r w:rsidR="00CD493D" w:rsidRPr="00E421F6">
        <w:rPr>
          <w:rFonts w:ascii="仿宋_GB2312" w:eastAsia="仿宋_GB2312" w:hAnsi="Times New Roman" w:cs="Times New Roman" w:hint="eastAsia"/>
          <w:color w:val="000000"/>
          <w:kern w:val="0"/>
          <w:sz w:val="32"/>
          <w:szCs w:val="32"/>
        </w:rPr>
        <w:t>就</w:t>
      </w:r>
      <w:r w:rsidR="000B1A49" w:rsidRPr="00E421F6">
        <w:rPr>
          <w:rFonts w:ascii="仿宋_GB2312" w:eastAsia="仿宋_GB2312" w:hAnsi="Times New Roman" w:cs="Times New Roman" w:hint="eastAsia"/>
          <w:color w:val="000000"/>
          <w:kern w:val="0"/>
          <w:sz w:val="32"/>
          <w:szCs w:val="32"/>
        </w:rPr>
        <w:t>可能导致基于早期研究所确定的</w:t>
      </w:r>
      <w:r w:rsidR="00CD493D" w:rsidRPr="00E421F6">
        <w:rPr>
          <w:rFonts w:ascii="仿宋_GB2312" w:eastAsia="仿宋_GB2312" w:hAnsi="Times New Roman" w:cs="Times New Roman" w:hint="eastAsia"/>
          <w:color w:val="000000"/>
          <w:kern w:val="0"/>
          <w:sz w:val="32"/>
          <w:szCs w:val="32"/>
        </w:rPr>
        <w:t>给药剂量或方案并不适用于所有患者</w:t>
      </w:r>
      <w:r w:rsidR="0017058F" w:rsidRPr="00E421F6">
        <w:rPr>
          <w:rFonts w:ascii="仿宋_GB2312" w:eastAsia="仿宋_GB2312" w:hAnsi="Times New Roman" w:cs="Times New Roman" w:hint="eastAsia"/>
          <w:color w:val="000000"/>
          <w:kern w:val="0"/>
          <w:sz w:val="32"/>
          <w:szCs w:val="32"/>
        </w:rPr>
        <w:t>（尤其高龄患者或</w:t>
      </w:r>
      <w:r w:rsidR="00FE1DEA" w:rsidRPr="00E421F6">
        <w:rPr>
          <w:rFonts w:ascii="仿宋_GB2312" w:eastAsia="仿宋_GB2312" w:hAnsi="Times New Roman" w:cs="Times New Roman" w:hint="eastAsia"/>
          <w:color w:val="000000"/>
          <w:kern w:val="0"/>
          <w:sz w:val="32"/>
          <w:szCs w:val="32"/>
        </w:rPr>
        <w:t>体能状态差</w:t>
      </w:r>
      <w:r w:rsidR="009374A2" w:rsidRPr="00E421F6">
        <w:rPr>
          <w:rFonts w:ascii="仿宋_GB2312" w:eastAsia="仿宋_GB2312" w:hAnsi="Times New Roman" w:cs="Times New Roman" w:hint="eastAsia"/>
          <w:color w:val="000000"/>
          <w:kern w:val="0"/>
          <w:sz w:val="32"/>
          <w:szCs w:val="32"/>
        </w:rPr>
        <w:t>者</w:t>
      </w:r>
      <w:r w:rsidR="00FE1DEA" w:rsidRPr="00E421F6">
        <w:rPr>
          <w:rFonts w:ascii="仿宋_GB2312" w:eastAsia="仿宋_GB2312" w:hAnsi="Times New Roman" w:cs="Times New Roman" w:hint="eastAsia"/>
          <w:color w:val="000000"/>
          <w:kern w:val="0"/>
          <w:sz w:val="32"/>
          <w:szCs w:val="32"/>
        </w:rPr>
        <w:t>）</w:t>
      </w:r>
      <w:r w:rsidR="00074203" w:rsidRPr="00E421F6">
        <w:rPr>
          <w:rFonts w:ascii="仿宋_GB2312" w:eastAsia="仿宋_GB2312" w:hAnsi="Times New Roman" w:cs="Times New Roman" w:hint="eastAsia"/>
          <w:color w:val="000000"/>
          <w:kern w:val="0"/>
          <w:sz w:val="32"/>
          <w:szCs w:val="32"/>
        </w:rPr>
        <w:t>，年轻患者的</w:t>
      </w:r>
      <w:r w:rsidR="00982C9B" w:rsidRPr="00E421F6">
        <w:rPr>
          <w:rFonts w:ascii="仿宋_GB2312" w:eastAsia="仿宋_GB2312" w:hAnsi="Times New Roman" w:cs="Times New Roman" w:hint="eastAsia"/>
          <w:color w:val="000000"/>
          <w:kern w:val="0"/>
          <w:sz w:val="32"/>
          <w:szCs w:val="32"/>
        </w:rPr>
        <w:t>耐受性</w:t>
      </w:r>
      <w:r w:rsidR="00982C9B" w:rsidRPr="00E421F6">
        <w:rPr>
          <w:rFonts w:ascii="仿宋_GB2312" w:eastAsia="仿宋_GB2312" w:hAnsi="Times New Roman" w:cs="Times New Roman"/>
          <w:color w:val="000000"/>
          <w:kern w:val="0"/>
          <w:sz w:val="32"/>
          <w:szCs w:val="32"/>
        </w:rPr>
        <w:t>及</w:t>
      </w:r>
      <w:r w:rsidR="00074203" w:rsidRPr="00E421F6">
        <w:rPr>
          <w:rFonts w:ascii="仿宋_GB2312" w:eastAsia="仿宋_GB2312" w:hAnsi="Times New Roman" w:cs="Times New Roman" w:hint="eastAsia"/>
          <w:color w:val="000000"/>
          <w:kern w:val="0"/>
          <w:sz w:val="32"/>
          <w:szCs w:val="32"/>
        </w:rPr>
        <w:t>治疗反应可能</w:t>
      </w:r>
      <w:r w:rsidR="00074203" w:rsidRPr="00E421F6">
        <w:rPr>
          <w:rFonts w:ascii="仿宋_GB2312" w:eastAsia="仿宋_GB2312" w:hAnsi="Times New Roman" w:cs="Times New Roman" w:hint="eastAsia"/>
          <w:color w:val="000000"/>
          <w:kern w:val="0"/>
          <w:sz w:val="32"/>
          <w:szCs w:val="32"/>
        </w:rPr>
        <w:lastRenderedPageBreak/>
        <w:t>与老年患者存在差异</w:t>
      </w:r>
      <w:r w:rsidR="00CD493D" w:rsidRPr="00E421F6">
        <w:rPr>
          <w:rFonts w:ascii="仿宋_GB2312" w:eastAsia="仿宋_GB2312" w:hAnsi="Times New Roman" w:cs="Times New Roman" w:hint="eastAsia"/>
          <w:color w:val="000000"/>
          <w:kern w:val="0"/>
          <w:sz w:val="32"/>
          <w:szCs w:val="32"/>
        </w:rPr>
        <w:t>。</w:t>
      </w:r>
    </w:p>
    <w:p w:rsidR="00CD493D" w:rsidRPr="00E421F6" w:rsidRDefault="00781C93"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首先，</w:t>
      </w:r>
      <w:r w:rsidR="00CD493D" w:rsidRPr="00E421F6">
        <w:rPr>
          <w:rFonts w:ascii="仿宋_GB2312" w:eastAsia="仿宋_GB2312" w:hAnsi="Times New Roman" w:cs="Times New Roman" w:hint="eastAsia"/>
          <w:color w:val="000000"/>
          <w:kern w:val="0"/>
          <w:sz w:val="32"/>
          <w:szCs w:val="32"/>
        </w:rPr>
        <w:t>应根据药物机制选择剂量探索的</w:t>
      </w:r>
      <w:r w:rsidRPr="00E421F6">
        <w:rPr>
          <w:rFonts w:ascii="仿宋_GB2312" w:eastAsia="仿宋_GB2312" w:hAnsi="Times New Roman" w:cs="Times New Roman" w:hint="eastAsia"/>
          <w:color w:val="000000"/>
          <w:kern w:val="0"/>
          <w:sz w:val="32"/>
          <w:szCs w:val="32"/>
        </w:rPr>
        <w:t>整体</w:t>
      </w:r>
      <w:r w:rsidR="00CD493D" w:rsidRPr="00E421F6">
        <w:rPr>
          <w:rFonts w:ascii="仿宋_GB2312" w:eastAsia="仿宋_GB2312" w:hAnsi="Times New Roman" w:cs="Times New Roman" w:hint="eastAsia"/>
          <w:color w:val="000000"/>
          <w:kern w:val="0"/>
          <w:sz w:val="32"/>
          <w:szCs w:val="32"/>
        </w:rPr>
        <w:t>方向和策略，</w:t>
      </w:r>
      <w:r w:rsidRPr="00E421F6">
        <w:rPr>
          <w:rFonts w:ascii="仿宋_GB2312" w:eastAsia="仿宋_GB2312" w:hAnsi="Times New Roman" w:cs="Times New Roman" w:hint="eastAsia"/>
          <w:color w:val="000000"/>
          <w:kern w:val="0"/>
          <w:sz w:val="32"/>
          <w:szCs w:val="32"/>
        </w:rPr>
        <w:t>例如细胞毒性药物仍然可以采用抗肿瘤新药传统的以剂量限制毒性为指标确定最大耐受剂量的策略，因为理论上这类药物的疗效</w:t>
      </w:r>
      <w:r w:rsidR="00F175B6" w:rsidRPr="00E421F6">
        <w:rPr>
          <w:rFonts w:ascii="仿宋_GB2312" w:eastAsia="仿宋_GB2312" w:hAnsi="Times New Roman" w:cs="Times New Roman" w:hint="eastAsia"/>
          <w:color w:val="000000"/>
          <w:kern w:val="0"/>
          <w:sz w:val="32"/>
          <w:szCs w:val="32"/>
        </w:rPr>
        <w:t>随着</w:t>
      </w:r>
      <w:r w:rsidRPr="00E421F6">
        <w:rPr>
          <w:rFonts w:ascii="仿宋_GB2312" w:eastAsia="仿宋_GB2312" w:hAnsi="Times New Roman" w:cs="Times New Roman" w:hint="eastAsia"/>
          <w:color w:val="000000"/>
          <w:kern w:val="0"/>
          <w:sz w:val="32"/>
          <w:szCs w:val="32"/>
        </w:rPr>
        <w:t>暴露</w:t>
      </w:r>
      <w:r w:rsidR="00F175B6" w:rsidRPr="00E421F6">
        <w:rPr>
          <w:rFonts w:ascii="仿宋_GB2312" w:eastAsia="仿宋_GB2312" w:hAnsi="Times New Roman" w:cs="Times New Roman" w:hint="eastAsia"/>
          <w:color w:val="000000"/>
          <w:kern w:val="0"/>
          <w:sz w:val="32"/>
          <w:szCs w:val="32"/>
        </w:rPr>
        <w:t>增加而增加</w:t>
      </w:r>
      <w:r w:rsidRPr="00E421F6">
        <w:rPr>
          <w:rFonts w:ascii="仿宋_GB2312" w:eastAsia="仿宋_GB2312" w:hAnsi="Times New Roman" w:cs="Times New Roman" w:hint="eastAsia"/>
          <w:color w:val="000000"/>
          <w:kern w:val="0"/>
          <w:sz w:val="32"/>
          <w:szCs w:val="32"/>
        </w:rPr>
        <w:t>；对于具有与药效相关性良好的生物标志物的靶向药物，可以根据剂量递增过程中的暴露-效应关系分析结果，选择药效学指标进入平台期前的给药剂量作为扩展剂量或II期推荐剂量（RP2D），减少无增效的过度暴露。</w:t>
      </w:r>
    </w:p>
    <w:p w:rsidR="007F2BD5" w:rsidRPr="00E421F6" w:rsidRDefault="009D63EB"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其次，</w:t>
      </w:r>
      <w:r w:rsidR="00781C93" w:rsidRPr="00E421F6">
        <w:rPr>
          <w:rFonts w:ascii="仿宋_GB2312" w:eastAsia="仿宋_GB2312" w:hAnsi="Times New Roman" w:cs="Times New Roman" w:hint="eastAsia"/>
          <w:color w:val="000000"/>
          <w:kern w:val="0"/>
          <w:sz w:val="32"/>
          <w:szCs w:val="32"/>
        </w:rPr>
        <w:t>根据确定</w:t>
      </w:r>
      <w:r w:rsidRPr="00E421F6">
        <w:rPr>
          <w:rFonts w:ascii="仿宋_GB2312" w:eastAsia="仿宋_GB2312" w:hAnsi="Times New Roman" w:cs="Times New Roman" w:hint="eastAsia"/>
          <w:color w:val="000000"/>
          <w:kern w:val="0"/>
          <w:sz w:val="32"/>
          <w:szCs w:val="32"/>
        </w:rPr>
        <w:t>扩展剂量或后期研究剂量的</w:t>
      </w:r>
      <w:r w:rsidR="00581CB0" w:rsidRPr="00E421F6">
        <w:rPr>
          <w:rFonts w:ascii="仿宋_GB2312" w:eastAsia="仿宋_GB2312" w:hAnsi="Times New Roman" w:cs="Times New Roman" w:hint="eastAsia"/>
          <w:color w:val="000000"/>
          <w:kern w:val="0"/>
          <w:sz w:val="32"/>
          <w:szCs w:val="32"/>
        </w:rPr>
        <w:t>具体方法</w:t>
      </w:r>
      <w:r w:rsidRPr="00E421F6">
        <w:rPr>
          <w:rFonts w:ascii="仿宋_GB2312" w:eastAsia="仿宋_GB2312" w:hAnsi="Times New Roman" w:cs="Times New Roman" w:hint="eastAsia"/>
          <w:color w:val="000000"/>
          <w:kern w:val="0"/>
          <w:sz w:val="32"/>
          <w:szCs w:val="32"/>
        </w:rPr>
        <w:t>，并结合前期研究所纳入受试者的整体特征，分析是否需要在高龄患者中进一步开展</w:t>
      </w:r>
      <w:r w:rsidR="007433E7" w:rsidRPr="00E421F6">
        <w:rPr>
          <w:rFonts w:ascii="仿宋_GB2312" w:eastAsia="仿宋_GB2312" w:hAnsi="Times New Roman" w:cs="Times New Roman" w:hint="eastAsia"/>
          <w:color w:val="000000"/>
          <w:kern w:val="0"/>
          <w:sz w:val="32"/>
          <w:szCs w:val="32"/>
        </w:rPr>
        <w:t>相对</w:t>
      </w:r>
      <w:r w:rsidR="007433E7" w:rsidRPr="00E421F6">
        <w:rPr>
          <w:rFonts w:ascii="仿宋_GB2312" w:eastAsia="仿宋_GB2312" w:hAnsi="Times New Roman" w:cs="Times New Roman"/>
          <w:color w:val="000000"/>
          <w:kern w:val="0"/>
          <w:sz w:val="32"/>
          <w:szCs w:val="32"/>
        </w:rPr>
        <w:t>较</w:t>
      </w:r>
      <w:r w:rsidRPr="00E421F6">
        <w:rPr>
          <w:rFonts w:ascii="仿宋_GB2312" w:eastAsia="仿宋_GB2312" w:hAnsi="Times New Roman" w:cs="Times New Roman" w:hint="eastAsia"/>
          <w:color w:val="000000"/>
          <w:kern w:val="0"/>
          <w:sz w:val="32"/>
          <w:szCs w:val="32"/>
        </w:rPr>
        <w:t>低剂量方案的探索性研究，</w:t>
      </w:r>
      <w:r w:rsidR="00581CB0" w:rsidRPr="00E421F6">
        <w:rPr>
          <w:rFonts w:ascii="仿宋_GB2312" w:eastAsia="仿宋_GB2312" w:hAnsi="Times New Roman" w:cs="Times New Roman" w:hint="eastAsia"/>
          <w:color w:val="000000"/>
          <w:kern w:val="0"/>
          <w:sz w:val="32"/>
          <w:szCs w:val="32"/>
        </w:rPr>
        <w:t>以及是否需要</w:t>
      </w:r>
      <w:r w:rsidRPr="00E421F6">
        <w:rPr>
          <w:rFonts w:ascii="仿宋_GB2312" w:eastAsia="仿宋_GB2312" w:hAnsi="Times New Roman" w:cs="Times New Roman" w:hint="eastAsia"/>
          <w:color w:val="000000"/>
          <w:kern w:val="0"/>
          <w:sz w:val="32"/>
          <w:szCs w:val="32"/>
        </w:rPr>
        <w:t>根据不同人群的治疗目标调整给药剂量。剂量探索或扩展过程中应充分考虑不同人群的耐受性特征和/或治疗目标，并且</w:t>
      </w:r>
      <w:r w:rsidR="00074203" w:rsidRPr="00E421F6">
        <w:rPr>
          <w:rFonts w:ascii="仿宋_GB2312" w:eastAsia="仿宋_GB2312" w:hAnsi="Times New Roman" w:cs="Times New Roman" w:hint="eastAsia"/>
          <w:color w:val="000000"/>
          <w:kern w:val="0"/>
          <w:sz w:val="32"/>
          <w:szCs w:val="32"/>
        </w:rPr>
        <w:t>在临床研究阶段纳入足够比例的老年患者</w:t>
      </w:r>
      <w:r w:rsidR="002C66E1" w:rsidRPr="00E421F6">
        <w:rPr>
          <w:rFonts w:ascii="仿宋_GB2312" w:eastAsia="仿宋_GB2312" w:hAnsi="Times New Roman" w:cs="Times New Roman" w:hint="eastAsia"/>
          <w:color w:val="000000"/>
          <w:kern w:val="0"/>
          <w:sz w:val="32"/>
          <w:szCs w:val="32"/>
        </w:rPr>
        <w:t>（关注≥75周岁者的高龄患者）</w:t>
      </w:r>
      <w:r w:rsidR="00074203" w:rsidRPr="00E421F6">
        <w:rPr>
          <w:rFonts w:ascii="仿宋_GB2312" w:eastAsia="仿宋_GB2312" w:hAnsi="Times New Roman" w:cs="Times New Roman" w:hint="eastAsia"/>
          <w:color w:val="000000"/>
          <w:kern w:val="0"/>
          <w:sz w:val="32"/>
          <w:szCs w:val="32"/>
        </w:rPr>
        <w:t>以分析</w:t>
      </w:r>
      <w:r w:rsidR="003578F2" w:rsidRPr="00E421F6">
        <w:rPr>
          <w:rFonts w:ascii="仿宋_GB2312" w:eastAsia="仿宋_GB2312" w:hAnsi="Times New Roman" w:cs="Times New Roman" w:hint="eastAsia"/>
          <w:color w:val="000000"/>
          <w:kern w:val="0"/>
          <w:sz w:val="32"/>
          <w:szCs w:val="32"/>
        </w:rPr>
        <w:t>和确定</w:t>
      </w:r>
      <w:r w:rsidR="00074203" w:rsidRPr="00E421F6">
        <w:rPr>
          <w:rFonts w:ascii="仿宋_GB2312" w:eastAsia="仿宋_GB2312" w:hAnsi="Times New Roman" w:cs="Times New Roman" w:hint="eastAsia"/>
          <w:color w:val="000000"/>
          <w:kern w:val="0"/>
          <w:sz w:val="32"/>
          <w:szCs w:val="32"/>
        </w:rPr>
        <w:t>年龄/基础状况对药代动力学、耐受性和药效学的影响。</w:t>
      </w:r>
      <w:r w:rsidR="007F2BD5" w:rsidRPr="00E421F6">
        <w:rPr>
          <w:rFonts w:ascii="仿宋_GB2312" w:eastAsia="仿宋_GB2312" w:hAnsi="Times New Roman" w:cs="Times New Roman" w:hint="eastAsia"/>
          <w:color w:val="000000"/>
          <w:kern w:val="0"/>
          <w:sz w:val="32"/>
          <w:szCs w:val="32"/>
        </w:rPr>
        <w:t>应</w:t>
      </w:r>
      <w:r w:rsidR="001148A1" w:rsidRPr="00E421F6">
        <w:rPr>
          <w:rFonts w:ascii="仿宋_GB2312" w:eastAsia="仿宋_GB2312" w:hAnsi="Times New Roman" w:cs="Times New Roman" w:hint="eastAsia"/>
          <w:color w:val="000000"/>
          <w:kern w:val="0"/>
          <w:sz w:val="32"/>
          <w:szCs w:val="32"/>
        </w:rPr>
        <w:t>关注针对药物治疗毒性的剂量调整策略，是采用暂停用药还是降低剂量更有助于取得长期</w:t>
      </w:r>
      <w:r w:rsidR="007F2BD5" w:rsidRPr="00E421F6">
        <w:rPr>
          <w:rFonts w:ascii="仿宋_GB2312" w:eastAsia="仿宋_GB2312" w:hAnsi="Times New Roman" w:cs="Times New Roman" w:hint="eastAsia"/>
          <w:color w:val="000000"/>
          <w:kern w:val="0"/>
          <w:sz w:val="32"/>
          <w:szCs w:val="32"/>
        </w:rPr>
        <w:t>治疗获益。</w:t>
      </w:r>
    </w:p>
    <w:p w:rsidR="00781C93" w:rsidRPr="00E421F6" w:rsidRDefault="007F2BD5"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给药时长的合理性也应该是探索阶段需要重点关注的问题</w:t>
      </w:r>
      <w:r w:rsidR="000F6A42" w:rsidRPr="00E421F6">
        <w:rPr>
          <w:rFonts w:ascii="仿宋_GB2312" w:eastAsia="仿宋_GB2312" w:hAnsi="Times New Roman" w:cs="Times New Roman" w:hint="eastAsia"/>
          <w:color w:val="000000"/>
          <w:kern w:val="0"/>
          <w:sz w:val="32"/>
          <w:szCs w:val="32"/>
        </w:rPr>
        <w:t>之一</w:t>
      </w:r>
      <w:r w:rsidRPr="00E421F6">
        <w:rPr>
          <w:rFonts w:ascii="仿宋_GB2312" w:eastAsia="仿宋_GB2312" w:hAnsi="Times New Roman" w:cs="Times New Roman" w:hint="eastAsia"/>
          <w:color w:val="000000"/>
          <w:kern w:val="0"/>
          <w:sz w:val="32"/>
          <w:szCs w:val="32"/>
        </w:rPr>
        <w:t>。一般而言，细胞毒性药物常采用有限周期的冲击式治疗策略，而近年来研发成功的小分子口服靶</w:t>
      </w:r>
      <w:proofErr w:type="gramStart"/>
      <w:r w:rsidRPr="00E421F6">
        <w:rPr>
          <w:rFonts w:ascii="仿宋_GB2312" w:eastAsia="仿宋_GB2312" w:hAnsi="Times New Roman" w:cs="Times New Roman" w:hint="eastAsia"/>
          <w:color w:val="000000"/>
          <w:kern w:val="0"/>
          <w:sz w:val="32"/>
          <w:szCs w:val="32"/>
        </w:rPr>
        <w:t>向药物</w:t>
      </w:r>
      <w:proofErr w:type="gramEnd"/>
      <w:r w:rsidRPr="00E421F6">
        <w:rPr>
          <w:rFonts w:ascii="仿宋_GB2312" w:eastAsia="仿宋_GB2312" w:hAnsi="Times New Roman" w:cs="Times New Roman" w:hint="eastAsia"/>
          <w:color w:val="000000"/>
          <w:kern w:val="0"/>
          <w:sz w:val="32"/>
          <w:szCs w:val="32"/>
        </w:rPr>
        <w:t>常采</w:t>
      </w:r>
      <w:r w:rsidRPr="00E421F6">
        <w:rPr>
          <w:rFonts w:ascii="仿宋_GB2312" w:eastAsia="仿宋_GB2312" w:hAnsi="Times New Roman" w:cs="Times New Roman" w:hint="eastAsia"/>
          <w:color w:val="000000"/>
          <w:kern w:val="0"/>
          <w:sz w:val="32"/>
          <w:szCs w:val="32"/>
        </w:rPr>
        <w:lastRenderedPageBreak/>
        <w:t>用长期持续治疗策略。但是，在实现缓解</w:t>
      </w:r>
      <w:r w:rsidR="000F6A42" w:rsidRPr="00E421F6">
        <w:rPr>
          <w:rFonts w:ascii="仿宋_GB2312" w:eastAsia="仿宋_GB2312" w:hAnsi="Times New Roman" w:cs="Times New Roman" w:hint="eastAsia"/>
          <w:color w:val="000000"/>
          <w:kern w:val="0"/>
          <w:sz w:val="32"/>
          <w:szCs w:val="32"/>
        </w:rPr>
        <w:t>（尤其是完全缓解）后维持原有剂量和频率继续治疗的获益存在争议，尤其是脏器功能较脆弱</w:t>
      </w:r>
      <w:r w:rsidR="002C66E1" w:rsidRPr="00E421F6">
        <w:rPr>
          <w:rFonts w:ascii="仿宋_GB2312" w:eastAsia="仿宋_GB2312" w:hAnsi="Times New Roman" w:cs="Times New Roman" w:hint="eastAsia"/>
          <w:color w:val="000000"/>
          <w:kern w:val="0"/>
          <w:sz w:val="32"/>
          <w:szCs w:val="32"/>
        </w:rPr>
        <w:t>合并用药较多的高龄患者，临床研究期间应对停药可能性以及停药时机</w:t>
      </w:r>
      <w:r w:rsidR="000F6A42" w:rsidRPr="00E421F6">
        <w:rPr>
          <w:rFonts w:ascii="仿宋_GB2312" w:eastAsia="仿宋_GB2312" w:hAnsi="Times New Roman" w:cs="Times New Roman" w:hint="eastAsia"/>
          <w:color w:val="000000"/>
          <w:kern w:val="0"/>
          <w:sz w:val="32"/>
          <w:szCs w:val="32"/>
        </w:rPr>
        <w:t>进行探索。</w:t>
      </w:r>
    </w:p>
    <w:p w:rsidR="000A2926" w:rsidRPr="00E421F6" w:rsidRDefault="00A765CB"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老年患者合并肝肾功能损伤者比例高，骨髓代偿能力相对较弱，存在基础疾病（例如高血压、糖尿病、心肺疾病）并且需要服用其他药物治疗的可能性大，因此应该尽早开展肝肾功能对药代动力学影响、药物相互作用相关研究，更加积极地关注药物对心脏电生理学的影响。</w:t>
      </w:r>
      <w:r w:rsidR="00427993" w:rsidRPr="00E421F6">
        <w:rPr>
          <w:rFonts w:ascii="仿宋_GB2312" w:eastAsia="仿宋_GB2312" w:hAnsi="Times New Roman" w:cs="Times New Roman" w:hint="eastAsia"/>
          <w:color w:val="000000"/>
          <w:kern w:val="0"/>
          <w:sz w:val="32"/>
          <w:szCs w:val="32"/>
        </w:rPr>
        <w:t>在早期研究中</w:t>
      </w:r>
      <w:r w:rsidR="003065EC" w:rsidRPr="00E421F6">
        <w:rPr>
          <w:rFonts w:ascii="仿宋_GB2312" w:eastAsia="仿宋_GB2312" w:hAnsi="Times New Roman" w:cs="Times New Roman" w:hint="eastAsia"/>
          <w:color w:val="000000"/>
          <w:kern w:val="0"/>
          <w:sz w:val="32"/>
          <w:szCs w:val="32"/>
        </w:rPr>
        <w:t>，在预判不会带来额外治疗风险的前提下，</w:t>
      </w:r>
      <w:r w:rsidR="00427993" w:rsidRPr="00E421F6">
        <w:rPr>
          <w:rFonts w:ascii="仿宋_GB2312" w:eastAsia="仿宋_GB2312" w:hAnsi="Times New Roman" w:cs="Times New Roman" w:hint="eastAsia"/>
          <w:color w:val="000000"/>
          <w:kern w:val="0"/>
          <w:sz w:val="32"/>
          <w:szCs w:val="32"/>
        </w:rPr>
        <w:t>可以适当放宽对</w:t>
      </w:r>
      <w:r w:rsidR="003065EC" w:rsidRPr="00E421F6">
        <w:rPr>
          <w:rFonts w:ascii="仿宋_GB2312" w:eastAsia="仿宋_GB2312" w:hAnsi="Times New Roman" w:cs="Times New Roman" w:hint="eastAsia"/>
          <w:color w:val="000000"/>
          <w:kern w:val="0"/>
          <w:sz w:val="32"/>
          <w:szCs w:val="32"/>
        </w:rPr>
        <w:t>受试者</w:t>
      </w:r>
      <w:r w:rsidR="00427993" w:rsidRPr="00E421F6">
        <w:rPr>
          <w:rFonts w:ascii="仿宋_GB2312" w:eastAsia="仿宋_GB2312" w:hAnsi="Times New Roman" w:cs="Times New Roman" w:hint="eastAsia"/>
          <w:color w:val="000000"/>
          <w:kern w:val="0"/>
          <w:sz w:val="32"/>
          <w:szCs w:val="32"/>
        </w:rPr>
        <w:t>肝肾功能、骨髓功能</w:t>
      </w:r>
      <w:r w:rsidR="003065EC" w:rsidRPr="00E421F6">
        <w:rPr>
          <w:rFonts w:ascii="仿宋_GB2312" w:eastAsia="仿宋_GB2312" w:hAnsi="Times New Roman" w:cs="Times New Roman" w:hint="eastAsia"/>
          <w:color w:val="000000"/>
          <w:kern w:val="0"/>
          <w:sz w:val="32"/>
          <w:szCs w:val="32"/>
        </w:rPr>
        <w:t>、心肺功能</w:t>
      </w:r>
      <w:r w:rsidR="00427993" w:rsidRPr="00E421F6">
        <w:rPr>
          <w:rFonts w:ascii="仿宋_GB2312" w:eastAsia="仿宋_GB2312" w:hAnsi="Times New Roman" w:cs="Times New Roman" w:hint="eastAsia"/>
          <w:color w:val="000000"/>
          <w:kern w:val="0"/>
          <w:sz w:val="32"/>
          <w:szCs w:val="32"/>
        </w:rPr>
        <w:t>的</w:t>
      </w:r>
      <w:r w:rsidR="003065EC" w:rsidRPr="00E421F6">
        <w:rPr>
          <w:rFonts w:ascii="仿宋_GB2312" w:eastAsia="仿宋_GB2312" w:hAnsi="Times New Roman" w:cs="Times New Roman" w:hint="eastAsia"/>
          <w:color w:val="000000"/>
          <w:kern w:val="0"/>
          <w:sz w:val="32"/>
          <w:szCs w:val="32"/>
        </w:rPr>
        <w:t>限制</w:t>
      </w:r>
      <w:r w:rsidR="00427993" w:rsidRPr="00E421F6">
        <w:rPr>
          <w:rFonts w:ascii="仿宋_GB2312" w:eastAsia="仿宋_GB2312" w:hAnsi="Times New Roman" w:cs="Times New Roman" w:hint="eastAsia"/>
          <w:color w:val="000000"/>
          <w:kern w:val="0"/>
          <w:sz w:val="32"/>
          <w:szCs w:val="32"/>
        </w:rPr>
        <w:t>，</w:t>
      </w:r>
      <w:r w:rsidR="003065EC" w:rsidRPr="00E421F6">
        <w:rPr>
          <w:rFonts w:ascii="仿宋_GB2312" w:eastAsia="仿宋_GB2312" w:hAnsi="Times New Roman" w:cs="Times New Roman" w:hint="eastAsia"/>
          <w:color w:val="000000"/>
          <w:kern w:val="0"/>
          <w:sz w:val="32"/>
          <w:szCs w:val="32"/>
        </w:rPr>
        <w:t>使入组的患者更能代表真实</w:t>
      </w:r>
      <w:r w:rsidR="00960440" w:rsidRPr="00E421F6">
        <w:rPr>
          <w:rFonts w:ascii="仿宋_GB2312" w:eastAsia="仿宋_GB2312" w:hAnsi="Times New Roman" w:cs="Times New Roman" w:hint="eastAsia"/>
          <w:color w:val="000000"/>
          <w:kern w:val="0"/>
          <w:sz w:val="32"/>
          <w:szCs w:val="32"/>
        </w:rPr>
        <w:t>世界</w:t>
      </w:r>
      <w:r w:rsidR="003065EC" w:rsidRPr="00E421F6">
        <w:rPr>
          <w:rFonts w:ascii="仿宋_GB2312" w:eastAsia="仿宋_GB2312" w:hAnsi="Times New Roman" w:cs="Times New Roman" w:hint="eastAsia"/>
          <w:color w:val="000000"/>
          <w:kern w:val="0"/>
          <w:sz w:val="32"/>
          <w:szCs w:val="32"/>
        </w:rPr>
        <w:t>的CLL患者特征。</w:t>
      </w:r>
    </w:p>
    <w:p w:rsidR="00CC0DAB" w:rsidRPr="00AB7583" w:rsidRDefault="00CC0DAB" w:rsidP="00AB7583">
      <w:pPr>
        <w:pStyle w:val="1"/>
        <w:numPr>
          <w:ilvl w:val="255"/>
          <w:numId w:val="0"/>
        </w:numPr>
        <w:spacing w:before="200" w:after="200" w:line="360" w:lineRule="auto"/>
        <w:rPr>
          <w:rFonts w:ascii="Times New Roman" w:eastAsia="黑体" w:hAnsi="Times New Roman" w:cs="Times New Roman"/>
          <w:b w:val="0"/>
          <w:color w:val="000000"/>
          <w:kern w:val="0"/>
          <w:sz w:val="32"/>
          <w:szCs w:val="32"/>
        </w:rPr>
      </w:pPr>
      <w:bookmarkStart w:id="12" w:name="_Toc104979988"/>
      <w:bookmarkStart w:id="13" w:name="_Toc27657"/>
      <w:bookmarkStart w:id="14" w:name="_Toc25102"/>
      <w:r w:rsidRPr="00AB7583">
        <w:rPr>
          <w:rFonts w:ascii="Times New Roman" w:eastAsia="黑体" w:hAnsi="Times New Roman" w:cs="Times New Roman" w:hint="eastAsia"/>
          <w:b w:val="0"/>
          <w:color w:val="000000"/>
          <w:kern w:val="0"/>
          <w:sz w:val="32"/>
          <w:szCs w:val="32"/>
        </w:rPr>
        <w:t>四、有效性终点</w:t>
      </w:r>
      <w:bookmarkEnd w:id="12"/>
    </w:p>
    <w:bookmarkEnd w:id="13"/>
    <w:bookmarkEnd w:id="14"/>
    <w:p w:rsidR="00853C87" w:rsidRPr="00E421F6" w:rsidRDefault="00DB53E7"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CLL人群</w:t>
      </w:r>
      <w:r w:rsidR="00A86DD4" w:rsidRPr="00E421F6">
        <w:rPr>
          <w:rFonts w:ascii="仿宋_GB2312" w:eastAsia="仿宋_GB2312" w:hAnsi="Times New Roman" w:cs="Times New Roman" w:hint="eastAsia"/>
          <w:color w:val="000000"/>
          <w:kern w:val="0"/>
          <w:sz w:val="32"/>
          <w:szCs w:val="32"/>
        </w:rPr>
        <w:t>临床试验中与抗肿瘤疗效相关的有效性终点，包括缓解率</w:t>
      </w:r>
      <w:r w:rsidR="003A276B" w:rsidRPr="00E421F6">
        <w:rPr>
          <w:rFonts w:ascii="仿宋_GB2312" w:eastAsia="仿宋_GB2312" w:hAnsi="Times New Roman" w:cs="Times New Roman" w:hint="eastAsia"/>
          <w:color w:val="000000"/>
          <w:kern w:val="0"/>
          <w:sz w:val="32"/>
          <w:szCs w:val="32"/>
        </w:rPr>
        <w:t>、</w:t>
      </w:r>
      <w:r w:rsidR="00A86DD4" w:rsidRPr="00E421F6">
        <w:rPr>
          <w:rFonts w:ascii="仿宋_GB2312" w:eastAsia="仿宋_GB2312" w:hAnsi="Times New Roman" w:cs="Times New Roman" w:hint="eastAsia"/>
          <w:color w:val="000000"/>
          <w:kern w:val="0"/>
          <w:sz w:val="32"/>
          <w:szCs w:val="32"/>
        </w:rPr>
        <w:t>时间相关指标</w:t>
      </w:r>
      <w:r w:rsidR="003A276B" w:rsidRPr="00E421F6">
        <w:rPr>
          <w:rFonts w:ascii="仿宋_GB2312" w:eastAsia="仿宋_GB2312" w:hAnsi="Times New Roman" w:cs="Times New Roman" w:hint="eastAsia"/>
          <w:color w:val="000000"/>
          <w:kern w:val="0"/>
          <w:sz w:val="32"/>
          <w:szCs w:val="32"/>
        </w:rPr>
        <w:t>和症状终点</w:t>
      </w:r>
      <w:r w:rsidR="00A86DD4" w:rsidRPr="00E421F6">
        <w:rPr>
          <w:rFonts w:ascii="仿宋_GB2312" w:eastAsia="仿宋_GB2312" w:hAnsi="Times New Roman" w:cs="Times New Roman" w:hint="eastAsia"/>
          <w:color w:val="000000"/>
          <w:kern w:val="0"/>
          <w:sz w:val="32"/>
          <w:szCs w:val="32"/>
        </w:rPr>
        <w:t>等，遵循</w:t>
      </w:r>
      <w:r w:rsidR="00435D26" w:rsidRPr="00E421F6">
        <w:rPr>
          <w:rFonts w:ascii="仿宋_GB2312" w:eastAsia="仿宋_GB2312" w:hAnsi="Times New Roman" w:cs="Times New Roman" w:hint="eastAsia"/>
          <w:color w:val="000000"/>
          <w:kern w:val="0"/>
          <w:sz w:val="32"/>
          <w:szCs w:val="32"/>
        </w:rPr>
        <w:t>抗肿瘤药物临床试验终点的一般原则和定义</w:t>
      </w:r>
      <w:r w:rsidR="00435D26" w:rsidRPr="00EC073B">
        <w:rPr>
          <w:rFonts w:ascii="仿宋_GB2312" w:eastAsia="仿宋_GB2312" w:hAnsi="Times New Roman" w:cs="Times New Roman" w:hint="eastAsia"/>
          <w:color w:val="000000"/>
          <w:kern w:val="0"/>
          <w:sz w:val="32"/>
          <w:szCs w:val="32"/>
          <w:vertAlign w:val="superscript"/>
        </w:rPr>
        <w:t>[6]</w:t>
      </w:r>
      <w:r w:rsidR="00435D26" w:rsidRPr="00E421F6">
        <w:rPr>
          <w:rFonts w:ascii="仿宋_GB2312" w:eastAsia="仿宋_GB2312" w:hAnsi="Times New Roman" w:cs="Times New Roman" w:hint="eastAsia"/>
          <w:color w:val="000000"/>
          <w:kern w:val="0"/>
          <w:sz w:val="32"/>
          <w:szCs w:val="32"/>
        </w:rPr>
        <w:t>。</w:t>
      </w:r>
    </w:p>
    <w:p w:rsidR="007D786C" w:rsidRPr="00E421F6" w:rsidRDefault="00E421F6" w:rsidP="007D786C">
      <w:pPr>
        <w:pStyle w:val="2"/>
        <w:spacing w:before="0" w:after="0" w:line="360" w:lineRule="auto"/>
        <w:rPr>
          <w:rFonts w:ascii="楷体_GB2312" w:eastAsia="楷体_GB2312"/>
          <w:b w:val="0"/>
          <w:szCs w:val="32"/>
        </w:rPr>
      </w:pPr>
      <w:bookmarkStart w:id="15" w:name="_Toc104979989"/>
      <w:r>
        <w:rPr>
          <w:rFonts w:ascii="楷体_GB2312" w:eastAsia="楷体_GB2312" w:hint="eastAsia"/>
          <w:b w:val="0"/>
          <w:szCs w:val="32"/>
        </w:rPr>
        <w:t>（一）</w:t>
      </w:r>
      <w:r w:rsidR="00C360DD" w:rsidRPr="00E421F6">
        <w:rPr>
          <w:rFonts w:ascii="楷体_GB2312" w:eastAsia="楷体_GB2312" w:hint="eastAsia"/>
          <w:b w:val="0"/>
          <w:szCs w:val="32"/>
        </w:rPr>
        <w:t>缓解</w:t>
      </w:r>
      <w:r w:rsidR="00CF4ADA" w:rsidRPr="00E421F6">
        <w:rPr>
          <w:rFonts w:ascii="楷体_GB2312" w:eastAsia="楷体_GB2312" w:hint="eastAsia"/>
          <w:b w:val="0"/>
          <w:szCs w:val="32"/>
        </w:rPr>
        <w:t>或进展</w:t>
      </w:r>
      <w:bookmarkEnd w:id="15"/>
    </w:p>
    <w:p w:rsidR="008A6AF7" w:rsidRPr="00E421F6" w:rsidRDefault="00CF4ADA"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临床上通过评价肿瘤负荷的变化和骨髓造血功能的恢复情况判断疾病是否发生缓解或进展</w:t>
      </w:r>
      <w:r w:rsidR="00C8035E" w:rsidRPr="00E421F6">
        <w:rPr>
          <w:rFonts w:ascii="仿宋_GB2312" w:eastAsia="仿宋_GB2312" w:hAnsi="Times New Roman" w:cs="Times New Roman" w:hint="eastAsia"/>
          <w:color w:val="000000"/>
          <w:kern w:val="0"/>
          <w:sz w:val="32"/>
          <w:szCs w:val="32"/>
        </w:rPr>
        <w:t>，应采用临床实践中广泛应用且有充分循</w:t>
      </w:r>
      <w:proofErr w:type="gramStart"/>
      <w:r w:rsidR="00C8035E" w:rsidRPr="00E421F6">
        <w:rPr>
          <w:rFonts w:ascii="仿宋_GB2312" w:eastAsia="仿宋_GB2312" w:hAnsi="Times New Roman" w:cs="Times New Roman" w:hint="eastAsia"/>
          <w:color w:val="000000"/>
          <w:kern w:val="0"/>
          <w:sz w:val="32"/>
          <w:szCs w:val="32"/>
        </w:rPr>
        <w:t>证依据</w:t>
      </w:r>
      <w:proofErr w:type="gramEnd"/>
      <w:r w:rsidR="00C8035E" w:rsidRPr="00E421F6">
        <w:rPr>
          <w:rFonts w:ascii="仿宋_GB2312" w:eastAsia="仿宋_GB2312" w:hAnsi="Times New Roman" w:cs="Times New Roman" w:hint="eastAsia"/>
          <w:color w:val="000000"/>
          <w:kern w:val="0"/>
          <w:sz w:val="32"/>
          <w:szCs w:val="32"/>
        </w:rPr>
        <w:t>支持的评价标准</w:t>
      </w:r>
      <w:r w:rsidR="00893A9F" w:rsidRPr="00E421F6">
        <w:rPr>
          <w:rFonts w:ascii="仿宋_GB2312" w:eastAsia="仿宋_GB2312" w:hAnsi="Times New Roman" w:cs="Times New Roman" w:hint="eastAsia"/>
          <w:color w:val="000000"/>
          <w:kern w:val="0"/>
          <w:sz w:val="32"/>
          <w:szCs w:val="32"/>
        </w:rPr>
        <w:t>，具体判断标准不在本技术指导原则中赘述</w:t>
      </w:r>
      <w:r w:rsidR="005A5460" w:rsidRPr="00E421F6">
        <w:rPr>
          <w:rFonts w:ascii="仿宋_GB2312" w:eastAsia="仿宋_GB2312" w:hAnsi="Times New Roman" w:cs="Times New Roman" w:hint="eastAsia"/>
          <w:color w:val="000000"/>
          <w:kern w:val="0"/>
          <w:sz w:val="32"/>
          <w:szCs w:val="32"/>
        </w:rPr>
        <w:t>。</w:t>
      </w:r>
      <w:r w:rsidR="0068243B" w:rsidRPr="00E421F6">
        <w:rPr>
          <w:rFonts w:ascii="仿宋_GB2312" w:eastAsia="仿宋_GB2312" w:hAnsi="Times New Roman" w:cs="Times New Roman" w:hint="eastAsia"/>
          <w:color w:val="000000"/>
          <w:kern w:val="0"/>
          <w:sz w:val="32"/>
          <w:szCs w:val="32"/>
        </w:rPr>
        <w:t>境内外</w:t>
      </w:r>
      <w:r w:rsidR="007732A5" w:rsidRPr="00E421F6">
        <w:rPr>
          <w:rFonts w:ascii="仿宋_GB2312" w:eastAsia="仿宋_GB2312" w:hAnsi="Times New Roman" w:cs="Times New Roman" w:hint="eastAsia"/>
          <w:color w:val="000000"/>
          <w:kern w:val="0"/>
          <w:sz w:val="32"/>
          <w:szCs w:val="32"/>
        </w:rPr>
        <w:t>常用</w:t>
      </w:r>
      <w:r w:rsidR="0068243B" w:rsidRPr="00E421F6">
        <w:rPr>
          <w:rFonts w:ascii="仿宋_GB2312" w:eastAsia="仿宋_GB2312" w:hAnsi="Times New Roman" w:cs="Times New Roman" w:hint="eastAsia"/>
          <w:color w:val="000000"/>
          <w:kern w:val="0"/>
          <w:sz w:val="32"/>
          <w:szCs w:val="32"/>
        </w:rPr>
        <w:t>的疗效评价标准存在</w:t>
      </w:r>
      <w:r w:rsidR="0068243B" w:rsidRPr="00E421F6">
        <w:rPr>
          <w:rFonts w:ascii="仿宋_GB2312" w:eastAsia="仿宋_GB2312" w:hAnsi="Times New Roman" w:cs="Times New Roman" w:hint="eastAsia"/>
          <w:color w:val="000000"/>
          <w:kern w:val="0"/>
          <w:sz w:val="32"/>
          <w:szCs w:val="32"/>
        </w:rPr>
        <w:lastRenderedPageBreak/>
        <w:t>差异，在开展国际多中心临床试验时应该注意协调</w:t>
      </w:r>
      <w:r w:rsidR="0068243B" w:rsidRPr="005A0939">
        <w:rPr>
          <w:rFonts w:ascii="仿宋_GB2312" w:eastAsia="仿宋_GB2312" w:hAnsi="Times New Roman" w:cs="Times New Roman" w:hint="eastAsia"/>
          <w:color w:val="000000"/>
          <w:kern w:val="0"/>
          <w:sz w:val="32"/>
          <w:szCs w:val="32"/>
          <w:vertAlign w:val="superscript"/>
        </w:rPr>
        <w:t>[3, 7]</w:t>
      </w:r>
      <w:r w:rsidR="00612E88" w:rsidRPr="00E421F6">
        <w:rPr>
          <w:rFonts w:ascii="仿宋_GB2312" w:eastAsia="仿宋_GB2312" w:hAnsi="Times New Roman" w:cs="Times New Roman" w:hint="eastAsia"/>
          <w:color w:val="000000"/>
          <w:kern w:val="0"/>
          <w:sz w:val="32"/>
          <w:szCs w:val="32"/>
        </w:rPr>
        <w:t>。</w:t>
      </w:r>
      <w:r w:rsidR="00596AFD" w:rsidRPr="00E421F6">
        <w:rPr>
          <w:rFonts w:ascii="仿宋_GB2312" w:eastAsia="仿宋_GB2312" w:hAnsi="Times New Roman" w:cs="Times New Roman" w:hint="eastAsia"/>
          <w:color w:val="000000"/>
          <w:kern w:val="0"/>
          <w:sz w:val="32"/>
          <w:szCs w:val="32"/>
        </w:rPr>
        <w:t>在新靶点药物研发过程中，可能会</w:t>
      </w:r>
      <w:r w:rsidR="00DB5AD1" w:rsidRPr="00E421F6">
        <w:rPr>
          <w:rFonts w:ascii="仿宋_GB2312" w:eastAsia="仿宋_GB2312" w:hAnsi="Times New Roman" w:cs="Times New Roman" w:hint="eastAsia"/>
          <w:color w:val="000000"/>
          <w:kern w:val="0"/>
          <w:sz w:val="32"/>
          <w:szCs w:val="32"/>
        </w:rPr>
        <w:t>出</w:t>
      </w:r>
      <w:r w:rsidR="00596AFD" w:rsidRPr="00E421F6">
        <w:rPr>
          <w:rFonts w:ascii="仿宋_GB2312" w:eastAsia="仿宋_GB2312" w:hAnsi="Times New Roman" w:cs="Times New Roman" w:hint="eastAsia"/>
          <w:color w:val="000000"/>
          <w:kern w:val="0"/>
          <w:sz w:val="32"/>
          <w:szCs w:val="32"/>
        </w:rPr>
        <w:t>现常规的疗效评估标准不适用的情形，应该从早期临床试验起密切观察这些新现象的临床意义，分析新的治疗反应类型对无进展生存时间或生存时间可能产生何种影响。</w:t>
      </w:r>
      <w:r w:rsidR="00B748C9" w:rsidRPr="00E421F6">
        <w:rPr>
          <w:rFonts w:ascii="仿宋_GB2312" w:eastAsia="仿宋_GB2312" w:hAnsi="Times New Roman" w:cs="Times New Roman" w:hint="eastAsia"/>
          <w:color w:val="000000"/>
          <w:kern w:val="0"/>
          <w:sz w:val="32"/>
          <w:szCs w:val="32"/>
        </w:rPr>
        <w:t>缓解持续时间短于6个月的缓解被认为不具有临床意义</w:t>
      </w:r>
      <w:r w:rsidR="00B748C9" w:rsidRPr="00EC073B">
        <w:rPr>
          <w:rFonts w:ascii="仿宋_GB2312" w:eastAsia="仿宋_GB2312" w:hAnsi="Times New Roman" w:cs="Times New Roman" w:hint="eastAsia"/>
          <w:color w:val="000000"/>
          <w:kern w:val="0"/>
          <w:sz w:val="32"/>
          <w:szCs w:val="32"/>
          <w:vertAlign w:val="superscript"/>
        </w:rPr>
        <w:t>[7]</w:t>
      </w:r>
      <w:r w:rsidR="00B748C9" w:rsidRPr="00E421F6">
        <w:rPr>
          <w:rFonts w:ascii="仿宋_GB2312" w:eastAsia="仿宋_GB2312" w:hAnsi="Times New Roman" w:cs="Times New Roman" w:hint="eastAsia"/>
          <w:color w:val="000000"/>
          <w:kern w:val="0"/>
          <w:sz w:val="32"/>
          <w:szCs w:val="32"/>
        </w:rPr>
        <w:t>。</w:t>
      </w:r>
    </w:p>
    <w:p w:rsidR="00853C87" w:rsidRPr="00E421F6" w:rsidRDefault="008A6AF7"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完全缓解（Complete Remission，CR）</w:t>
      </w:r>
      <w:r w:rsidRPr="00E421F6">
        <w:rPr>
          <w:rFonts w:ascii="仿宋_GB2312" w:eastAsia="仿宋_GB2312" w:hAnsi="Times New Roman" w:cs="Times New Roman" w:hint="eastAsia"/>
          <w:color w:val="000000"/>
          <w:kern w:val="0"/>
          <w:sz w:val="32"/>
          <w:szCs w:val="32"/>
        </w:rPr>
        <w:t>：</w:t>
      </w:r>
      <w:r w:rsidR="00894BA4" w:rsidRPr="00E421F6">
        <w:rPr>
          <w:rFonts w:ascii="仿宋_GB2312" w:eastAsia="仿宋_GB2312" w:hAnsi="Times New Roman" w:cs="Times New Roman" w:hint="eastAsia"/>
          <w:color w:val="000000"/>
          <w:kern w:val="0"/>
          <w:sz w:val="32"/>
          <w:szCs w:val="32"/>
        </w:rPr>
        <w:t>当淋巴结、肝脾、外周血检查结果和临床症状提示患者可能CR时，应该实施骨髓穿刺或活检进行确认。如果患者除骨髓造血功能外，其他症状、体征和检查结果（包括骨髓穿刺或活检）都符合CR，并且可确认贫血、血小板</w:t>
      </w:r>
      <w:r w:rsidR="002F6EBC" w:rsidRPr="00E421F6">
        <w:rPr>
          <w:rFonts w:ascii="仿宋_GB2312" w:eastAsia="仿宋_GB2312" w:hAnsi="Times New Roman" w:cs="Times New Roman" w:hint="eastAsia"/>
          <w:color w:val="000000"/>
          <w:kern w:val="0"/>
          <w:sz w:val="32"/>
          <w:szCs w:val="32"/>
        </w:rPr>
        <w:t>降</w:t>
      </w:r>
      <w:r w:rsidR="00894BA4" w:rsidRPr="00E421F6">
        <w:rPr>
          <w:rFonts w:ascii="仿宋_GB2312" w:eastAsia="仿宋_GB2312" w:hAnsi="Times New Roman" w:cs="Times New Roman" w:hint="eastAsia"/>
          <w:color w:val="000000"/>
          <w:kern w:val="0"/>
          <w:sz w:val="32"/>
          <w:szCs w:val="32"/>
        </w:rPr>
        <w:t>低或中性粒细胞减少与CLL无关，可以被诊断为不完全CR（</w:t>
      </w:r>
      <w:proofErr w:type="spellStart"/>
      <w:r w:rsidR="00894BA4" w:rsidRPr="00E421F6">
        <w:rPr>
          <w:rFonts w:ascii="仿宋_GB2312" w:eastAsia="仿宋_GB2312" w:hAnsi="Times New Roman" w:cs="Times New Roman" w:hint="eastAsia"/>
          <w:color w:val="000000"/>
          <w:kern w:val="0"/>
          <w:sz w:val="32"/>
          <w:szCs w:val="32"/>
        </w:rPr>
        <w:t>CRi</w:t>
      </w:r>
      <w:proofErr w:type="spellEnd"/>
      <w:r w:rsidR="00894BA4" w:rsidRPr="00E421F6">
        <w:rPr>
          <w:rFonts w:ascii="仿宋_GB2312" w:eastAsia="仿宋_GB2312" w:hAnsi="Times New Roman" w:cs="Times New Roman" w:hint="eastAsia"/>
          <w:color w:val="000000"/>
          <w:kern w:val="0"/>
          <w:sz w:val="32"/>
          <w:szCs w:val="32"/>
        </w:rPr>
        <w:t>）。</w:t>
      </w:r>
      <w:r w:rsidR="0008195D" w:rsidRPr="00E421F6">
        <w:rPr>
          <w:rFonts w:ascii="仿宋_GB2312" w:eastAsia="仿宋_GB2312" w:hAnsi="Times New Roman" w:cs="Times New Roman" w:hint="eastAsia"/>
          <w:color w:val="000000"/>
          <w:kern w:val="0"/>
          <w:sz w:val="32"/>
          <w:szCs w:val="32"/>
        </w:rPr>
        <w:t>临床试验中，</w:t>
      </w:r>
      <w:r w:rsidR="00CB0DB3" w:rsidRPr="00E421F6">
        <w:rPr>
          <w:rFonts w:ascii="仿宋_GB2312" w:eastAsia="仿宋_GB2312" w:hAnsi="Times New Roman" w:cs="Times New Roman" w:hint="eastAsia"/>
          <w:color w:val="000000"/>
          <w:kern w:val="0"/>
          <w:sz w:val="32"/>
          <w:szCs w:val="32"/>
        </w:rPr>
        <w:t>应该对评价为</w:t>
      </w:r>
      <w:proofErr w:type="spellStart"/>
      <w:r w:rsidR="00CB0DB3" w:rsidRPr="00E421F6">
        <w:rPr>
          <w:rFonts w:ascii="仿宋_GB2312" w:eastAsia="仿宋_GB2312" w:hAnsi="Times New Roman" w:cs="Times New Roman" w:hint="eastAsia"/>
          <w:color w:val="000000"/>
          <w:kern w:val="0"/>
          <w:sz w:val="32"/>
          <w:szCs w:val="32"/>
        </w:rPr>
        <w:t>CRi</w:t>
      </w:r>
      <w:proofErr w:type="spellEnd"/>
      <w:r w:rsidR="00CB0DB3" w:rsidRPr="00E421F6">
        <w:rPr>
          <w:rFonts w:ascii="仿宋_GB2312" w:eastAsia="仿宋_GB2312" w:hAnsi="Times New Roman" w:cs="Times New Roman" w:hint="eastAsia"/>
          <w:color w:val="000000"/>
          <w:kern w:val="0"/>
          <w:sz w:val="32"/>
          <w:szCs w:val="32"/>
        </w:rPr>
        <w:t>的患者转归进行严密</w:t>
      </w:r>
      <w:r w:rsidR="00A417F5" w:rsidRPr="00E421F6">
        <w:rPr>
          <w:rFonts w:ascii="仿宋_GB2312" w:eastAsia="仿宋_GB2312" w:hAnsi="Times New Roman" w:cs="Times New Roman" w:hint="eastAsia"/>
          <w:color w:val="000000"/>
          <w:kern w:val="0"/>
          <w:sz w:val="32"/>
          <w:szCs w:val="32"/>
        </w:rPr>
        <w:t>随访</w:t>
      </w:r>
      <w:r w:rsidR="0008195D" w:rsidRPr="00E421F6">
        <w:rPr>
          <w:rFonts w:ascii="仿宋_GB2312" w:eastAsia="仿宋_GB2312" w:hAnsi="Times New Roman" w:cs="Times New Roman" w:hint="eastAsia"/>
          <w:color w:val="000000"/>
          <w:kern w:val="0"/>
          <w:sz w:val="32"/>
          <w:szCs w:val="32"/>
        </w:rPr>
        <w:t>，而不</w:t>
      </w:r>
      <w:r w:rsidR="00A417F5" w:rsidRPr="00E421F6">
        <w:rPr>
          <w:rFonts w:ascii="仿宋_GB2312" w:eastAsia="仿宋_GB2312" w:hAnsi="Times New Roman" w:cs="Times New Roman" w:hint="eastAsia"/>
          <w:color w:val="000000"/>
          <w:kern w:val="0"/>
          <w:sz w:val="32"/>
          <w:szCs w:val="32"/>
        </w:rPr>
        <w:t>是</w:t>
      </w:r>
      <w:r w:rsidR="0008195D" w:rsidRPr="00E421F6">
        <w:rPr>
          <w:rFonts w:ascii="仿宋_GB2312" w:eastAsia="仿宋_GB2312" w:hAnsi="Times New Roman" w:cs="Times New Roman" w:hint="eastAsia"/>
          <w:color w:val="000000"/>
          <w:kern w:val="0"/>
          <w:sz w:val="32"/>
          <w:szCs w:val="32"/>
        </w:rPr>
        <w:t>简单将其与CR者合并。</w:t>
      </w:r>
      <w:r w:rsidR="00293B83" w:rsidRPr="00E421F6">
        <w:rPr>
          <w:rFonts w:ascii="仿宋_GB2312" w:eastAsia="仿宋_GB2312" w:hAnsi="Times New Roman" w:cs="Times New Roman" w:hint="eastAsia"/>
          <w:color w:val="000000"/>
          <w:kern w:val="0"/>
          <w:sz w:val="32"/>
          <w:szCs w:val="32"/>
        </w:rPr>
        <w:t>临床试验中，应该采用淋巴结、脾脏和</w:t>
      </w:r>
      <w:r w:rsidR="00DB5AD1" w:rsidRPr="00E421F6">
        <w:rPr>
          <w:rFonts w:ascii="仿宋_GB2312" w:eastAsia="仿宋_GB2312" w:hAnsi="Times New Roman" w:cs="Times New Roman"/>
          <w:color w:val="000000"/>
          <w:kern w:val="0"/>
          <w:sz w:val="32"/>
          <w:szCs w:val="32"/>
        </w:rPr>
        <w:t>/</w:t>
      </w:r>
      <w:r w:rsidR="00DB5AD1" w:rsidRPr="00E421F6">
        <w:rPr>
          <w:rFonts w:ascii="仿宋_GB2312" w:eastAsia="仿宋_GB2312" w:hAnsi="Times New Roman" w:cs="Times New Roman" w:hint="eastAsia"/>
          <w:color w:val="000000"/>
          <w:kern w:val="0"/>
          <w:sz w:val="32"/>
          <w:szCs w:val="32"/>
        </w:rPr>
        <w:t>或</w:t>
      </w:r>
      <w:r w:rsidR="00293B83" w:rsidRPr="00E421F6">
        <w:rPr>
          <w:rFonts w:ascii="仿宋_GB2312" w:eastAsia="仿宋_GB2312" w:hAnsi="Times New Roman" w:cs="Times New Roman" w:hint="eastAsia"/>
          <w:color w:val="000000"/>
          <w:kern w:val="0"/>
          <w:sz w:val="32"/>
          <w:szCs w:val="32"/>
        </w:rPr>
        <w:t>肝脏的</w:t>
      </w:r>
      <w:r w:rsidR="00293B83" w:rsidRPr="00E421F6">
        <w:rPr>
          <w:rFonts w:ascii="仿宋_GB2312" w:eastAsia="仿宋_GB2312" w:hAnsi="Times New Roman" w:cs="Times New Roman"/>
          <w:color w:val="000000"/>
          <w:kern w:val="0"/>
          <w:sz w:val="32"/>
          <w:szCs w:val="32"/>
        </w:rPr>
        <w:t>CT</w:t>
      </w:r>
      <w:r w:rsidR="00293B83" w:rsidRPr="00E421F6">
        <w:rPr>
          <w:rFonts w:ascii="仿宋_GB2312" w:eastAsia="仿宋_GB2312" w:hAnsi="Times New Roman" w:cs="Times New Roman" w:hint="eastAsia"/>
          <w:color w:val="000000"/>
          <w:kern w:val="0"/>
          <w:sz w:val="32"/>
          <w:szCs w:val="32"/>
        </w:rPr>
        <w:t>检测结果作为疾病缓解的判断依据。</w:t>
      </w:r>
    </w:p>
    <w:p w:rsidR="007732A5" w:rsidRPr="00E421F6" w:rsidRDefault="00EC550E"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部分缓解（</w:t>
      </w:r>
      <w:r w:rsidR="00236AAE" w:rsidRPr="005A0939">
        <w:rPr>
          <w:rFonts w:ascii="仿宋_GB2312" w:eastAsia="仿宋_GB2312" w:hAnsi="Times New Roman" w:cs="Times New Roman" w:hint="eastAsia"/>
          <w:b/>
          <w:color w:val="000000"/>
          <w:kern w:val="0"/>
          <w:sz w:val="32"/>
          <w:szCs w:val="32"/>
        </w:rPr>
        <w:t>Partial Remission，PR）</w:t>
      </w:r>
      <w:r w:rsidR="00236AAE" w:rsidRPr="00E421F6">
        <w:rPr>
          <w:rFonts w:ascii="仿宋_GB2312" w:eastAsia="仿宋_GB2312" w:hAnsi="Times New Roman" w:cs="Times New Roman" w:hint="eastAsia"/>
          <w:color w:val="000000"/>
          <w:kern w:val="0"/>
          <w:sz w:val="32"/>
          <w:szCs w:val="32"/>
        </w:rPr>
        <w:t>：</w:t>
      </w:r>
      <w:r w:rsidR="008A6AF7" w:rsidRPr="00E421F6">
        <w:rPr>
          <w:rFonts w:ascii="仿宋_GB2312" w:eastAsia="仿宋_GB2312" w:hAnsi="Times New Roman" w:cs="Times New Roman" w:hint="eastAsia"/>
          <w:color w:val="000000"/>
          <w:kern w:val="0"/>
          <w:sz w:val="32"/>
          <w:szCs w:val="32"/>
        </w:rPr>
        <w:t>外周血</w:t>
      </w:r>
      <w:r w:rsidR="00236AAE" w:rsidRPr="00E421F6">
        <w:rPr>
          <w:rFonts w:ascii="仿宋_GB2312" w:eastAsia="仿宋_GB2312" w:hAnsi="Times New Roman" w:cs="Times New Roman" w:hint="eastAsia"/>
          <w:color w:val="000000"/>
          <w:kern w:val="0"/>
          <w:sz w:val="32"/>
          <w:szCs w:val="32"/>
        </w:rPr>
        <w:t>淋巴细胞绝对值及其相对基线的变化情况通常</w:t>
      </w:r>
      <w:r w:rsidR="00395DE7" w:rsidRPr="00E421F6">
        <w:rPr>
          <w:rFonts w:ascii="仿宋_GB2312" w:eastAsia="仿宋_GB2312" w:hAnsi="Times New Roman" w:cs="Times New Roman" w:hint="eastAsia"/>
          <w:color w:val="000000"/>
          <w:kern w:val="0"/>
          <w:sz w:val="32"/>
          <w:szCs w:val="32"/>
        </w:rPr>
        <w:t>是</w:t>
      </w:r>
      <w:r w:rsidR="00236AAE" w:rsidRPr="00E421F6">
        <w:rPr>
          <w:rFonts w:ascii="仿宋_GB2312" w:eastAsia="仿宋_GB2312" w:hAnsi="Times New Roman" w:cs="Times New Roman" w:hint="eastAsia"/>
          <w:color w:val="000000"/>
          <w:kern w:val="0"/>
          <w:sz w:val="32"/>
          <w:szCs w:val="32"/>
        </w:rPr>
        <w:t>判断CLL患者发生缓解或进展的重要指标之一</w:t>
      </w:r>
      <w:r w:rsidR="00395DE7" w:rsidRPr="00E421F6">
        <w:rPr>
          <w:rFonts w:ascii="仿宋_GB2312" w:eastAsia="仿宋_GB2312" w:hAnsi="Times New Roman" w:cs="Times New Roman" w:hint="eastAsia"/>
          <w:color w:val="000000"/>
          <w:kern w:val="0"/>
          <w:sz w:val="32"/>
          <w:szCs w:val="32"/>
        </w:rPr>
        <w:t>，但是</w:t>
      </w:r>
      <w:r w:rsidR="00A417F5" w:rsidRPr="00E421F6">
        <w:rPr>
          <w:rFonts w:ascii="仿宋_GB2312" w:eastAsia="仿宋_GB2312" w:hAnsi="Times New Roman" w:cs="Times New Roman" w:hint="eastAsia"/>
          <w:color w:val="000000"/>
          <w:kern w:val="0"/>
          <w:sz w:val="32"/>
          <w:szCs w:val="32"/>
        </w:rPr>
        <w:t>部分靶</w:t>
      </w:r>
      <w:proofErr w:type="gramStart"/>
      <w:r w:rsidR="00750048" w:rsidRPr="00E421F6">
        <w:rPr>
          <w:rFonts w:ascii="仿宋_GB2312" w:eastAsia="仿宋_GB2312" w:hAnsi="Times New Roman" w:cs="Times New Roman" w:hint="eastAsia"/>
          <w:color w:val="000000"/>
          <w:kern w:val="0"/>
          <w:sz w:val="32"/>
          <w:szCs w:val="32"/>
        </w:rPr>
        <w:t>向治疗</w:t>
      </w:r>
      <w:proofErr w:type="gramEnd"/>
      <w:r w:rsidR="00750048" w:rsidRPr="00E421F6">
        <w:rPr>
          <w:rFonts w:ascii="仿宋_GB2312" w:eastAsia="仿宋_GB2312" w:hAnsi="Times New Roman" w:cs="Times New Roman" w:hint="eastAsia"/>
          <w:color w:val="000000"/>
          <w:kern w:val="0"/>
          <w:sz w:val="32"/>
          <w:szCs w:val="32"/>
        </w:rPr>
        <w:t>药物在治疗初期出现</w:t>
      </w:r>
      <w:r w:rsidR="00395DE7" w:rsidRPr="00E421F6">
        <w:rPr>
          <w:rFonts w:ascii="仿宋_GB2312" w:eastAsia="仿宋_GB2312" w:hAnsi="Times New Roman" w:cs="Times New Roman" w:hint="eastAsia"/>
          <w:color w:val="000000"/>
          <w:kern w:val="0"/>
          <w:sz w:val="32"/>
          <w:szCs w:val="32"/>
        </w:rPr>
        <w:t>单纯的淋巴细胞升高，</w:t>
      </w:r>
      <w:r w:rsidR="00A417F5" w:rsidRPr="00E421F6">
        <w:rPr>
          <w:rFonts w:ascii="仿宋_GB2312" w:eastAsia="仿宋_GB2312" w:hAnsi="Times New Roman" w:cs="Times New Roman" w:hint="eastAsia"/>
          <w:color w:val="000000"/>
          <w:kern w:val="0"/>
          <w:sz w:val="32"/>
          <w:szCs w:val="32"/>
        </w:rPr>
        <w:t>继续治疗后淋巴细胞逐渐恢复正常。疗效评价标准针对这种情形进行了修正，单纯的淋巴细胞升高不</w:t>
      </w:r>
      <w:r w:rsidR="00EF7035" w:rsidRPr="00E421F6">
        <w:rPr>
          <w:rFonts w:ascii="仿宋_GB2312" w:eastAsia="仿宋_GB2312" w:hAnsi="Times New Roman" w:cs="Times New Roman" w:hint="eastAsia"/>
          <w:color w:val="000000"/>
          <w:kern w:val="0"/>
          <w:sz w:val="32"/>
          <w:szCs w:val="32"/>
        </w:rPr>
        <w:t>作</w:t>
      </w:r>
      <w:r w:rsidR="00A417F5" w:rsidRPr="00E421F6">
        <w:rPr>
          <w:rFonts w:ascii="仿宋_GB2312" w:eastAsia="仿宋_GB2312" w:hAnsi="Times New Roman" w:cs="Times New Roman" w:hint="eastAsia"/>
          <w:color w:val="000000"/>
          <w:kern w:val="0"/>
          <w:sz w:val="32"/>
          <w:szCs w:val="32"/>
        </w:rPr>
        <w:t>为疾病进展的依据，其他指标达到部分缓解标准时被</w:t>
      </w:r>
      <w:r w:rsidR="00EF7035" w:rsidRPr="00E421F6">
        <w:rPr>
          <w:rFonts w:ascii="仿宋_GB2312" w:eastAsia="仿宋_GB2312" w:hAnsi="Times New Roman" w:cs="Times New Roman" w:hint="eastAsia"/>
          <w:color w:val="000000"/>
          <w:kern w:val="0"/>
          <w:sz w:val="32"/>
          <w:szCs w:val="32"/>
        </w:rPr>
        <w:t>评价</w:t>
      </w:r>
      <w:r w:rsidR="00A417F5" w:rsidRPr="00E421F6">
        <w:rPr>
          <w:rFonts w:ascii="仿宋_GB2312" w:eastAsia="仿宋_GB2312" w:hAnsi="Times New Roman" w:cs="Times New Roman" w:hint="eastAsia"/>
          <w:color w:val="000000"/>
          <w:kern w:val="0"/>
          <w:sz w:val="32"/>
          <w:szCs w:val="32"/>
        </w:rPr>
        <w:t>为伴淋巴细胞升高的部分缓解（PR-L）。在临床</w:t>
      </w:r>
      <w:r w:rsidR="00A417F5" w:rsidRPr="00E421F6">
        <w:rPr>
          <w:rFonts w:ascii="仿宋_GB2312" w:eastAsia="仿宋_GB2312" w:hAnsi="Times New Roman" w:cs="Times New Roman" w:hint="eastAsia"/>
          <w:color w:val="000000"/>
          <w:kern w:val="0"/>
          <w:sz w:val="32"/>
          <w:szCs w:val="32"/>
        </w:rPr>
        <w:lastRenderedPageBreak/>
        <w:t>试验中，应该对评价为PR-L的患者转归进行严密随访，</w:t>
      </w:r>
      <w:r w:rsidR="00AC196D" w:rsidRPr="00E421F6">
        <w:rPr>
          <w:rFonts w:ascii="仿宋_GB2312" w:eastAsia="仿宋_GB2312" w:hAnsi="Times New Roman" w:cs="Times New Roman" w:hint="eastAsia"/>
          <w:color w:val="000000"/>
          <w:kern w:val="0"/>
          <w:sz w:val="32"/>
          <w:szCs w:val="32"/>
        </w:rPr>
        <w:t>这些患者可以在出现其他进展依据前不被评价为疾病进展，但也不能</w:t>
      </w:r>
      <w:r w:rsidR="00A417F5" w:rsidRPr="00E421F6">
        <w:rPr>
          <w:rFonts w:ascii="仿宋_GB2312" w:eastAsia="仿宋_GB2312" w:hAnsi="Times New Roman" w:cs="Times New Roman" w:hint="eastAsia"/>
          <w:color w:val="000000"/>
          <w:kern w:val="0"/>
          <w:sz w:val="32"/>
          <w:szCs w:val="32"/>
        </w:rPr>
        <w:t>简单地将其与PR</w:t>
      </w:r>
      <w:r w:rsidR="00DB5AD1" w:rsidRPr="00E421F6">
        <w:rPr>
          <w:rFonts w:ascii="仿宋_GB2312" w:eastAsia="仿宋_GB2312" w:hAnsi="Times New Roman" w:cs="Times New Roman" w:hint="eastAsia"/>
          <w:color w:val="000000"/>
          <w:kern w:val="0"/>
          <w:sz w:val="32"/>
          <w:szCs w:val="32"/>
        </w:rPr>
        <w:t>患</w:t>
      </w:r>
      <w:r w:rsidR="00A417F5" w:rsidRPr="00E421F6">
        <w:rPr>
          <w:rFonts w:ascii="仿宋_GB2312" w:eastAsia="仿宋_GB2312" w:hAnsi="Times New Roman" w:cs="Times New Roman" w:hint="eastAsia"/>
          <w:color w:val="000000"/>
          <w:kern w:val="0"/>
          <w:sz w:val="32"/>
          <w:szCs w:val="32"/>
        </w:rPr>
        <w:t>者进行合并</w:t>
      </w:r>
      <w:r w:rsidR="008847B7" w:rsidRPr="00E421F6">
        <w:rPr>
          <w:rFonts w:ascii="仿宋_GB2312" w:eastAsia="仿宋_GB2312" w:hAnsi="Times New Roman" w:cs="Times New Roman" w:hint="eastAsia"/>
          <w:color w:val="000000"/>
          <w:kern w:val="0"/>
          <w:sz w:val="32"/>
          <w:szCs w:val="32"/>
        </w:rPr>
        <w:t>，尤其应对</w:t>
      </w:r>
      <w:r w:rsidR="00FF72A6" w:rsidRPr="00E421F6">
        <w:rPr>
          <w:rFonts w:ascii="仿宋_GB2312" w:eastAsia="仿宋_GB2312" w:hAnsi="Times New Roman" w:cs="Times New Roman" w:hint="eastAsia"/>
          <w:color w:val="000000"/>
          <w:kern w:val="0"/>
          <w:sz w:val="32"/>
          <w:szCs w:val="32"/>
        </w:rPr>
        <w:t>“</w:t>
      </w:r>
      <w:r w:rsidR="008847B7" w:rsidRPr="00E421F6">
        <w:rPr>
          <w:rFonts w:ascii="仿宋_GB2312" w:eastAsia="仿宋_GB2312" w:hAnsi="Times New Roman" w:cs="Times New Roman" w:hint="eastAsia"/>
          <w:color w:val="000000"/>
          <w:kern w:val="0"/>
          <w:sz w:val="32"/>
          <w:szCs w:val="32"/>
        </w:rPr>
        <w:t>进行性淋巴细胞增多</w:t>
      </w:r>
      <w:r w:rsidR="00FF72A6" w:rsidRPr="00E421F6">
        <w:rPr>
          <w:rFonts w:ascii="仿宋_GB2312" w:eastAsia="仿宋_GB2312" w:hAnsi="Times New Roman" w:cs="Times New Roman" w:hint="eastAsia"/>
          <w:color w:val="000000"/>
          <w:kern w:val="0"/>
          <w:sz w:val="32"/>
          <w:szCs w:val="32"/>
        </w:rPr>
        <w:t>”</w:t>
      </w:r>
      <w:r w:rsidR="00DE3583" w:rsidRPr="00E421F6">
        <w:rPr>
          <w:rFonts w:ascii="仿宋_GB2312" w:eastAsia="仿宋_GB2312" w:hAnsi="Times New Roman" w:cs="Times New Roman" w:hint="eastAsia"/>
          <w:color w:val="000000"/>
          <w:kern w:val="0"/>
          <w:sz w:val="32"/>
          <w:szCs w:val="32"/>
        </w:rPr>
        <w:t>是患者</w:t>
      </w:r>
      <w:r w:rsidR="008847B7" w:rsidRPr="00E421F6">
        <w:rPr>
          <w:rFonts w:ascii="仿宋_GB2312" w:eastAsia="仿宋_GB2312" w:hAnsi="Times New Roman" w:cs="Times New Roman" w:hint="eastAsia"/>
          <w:color w:val="000000"/>
          <w:kern w:val="0"/>
          <w:sz w:val="32"/>
          <w:szCs w:val="32"/>
        </w:rPr>
        <w:t>唯一治疗</w:t>
      </w:r>
      <w:proofErr w:type="gramStart"/>
      <w:r w:rsidR="008847B7" w:rsidRPr="00E421F6">
        <w:rPr>
          <w:rFonts w:ascii="仿宋_GB2312" w:eastAsia="仿宋_GB2312" w:hAnsi="Times New Roman" w:cs="Times New Roman" w:hint="eastAsia"/>
          <w:color w:val="000000"/>
          <w:kern w:val="0"/>
          <w:sz w:val="32"/>
          <w:szCs w:val="32"/>
        </w:rPr>
        <w:t>指征且被</w:t>
      </w:r>
      <w:proofErr w:type="gramEnd"/>
      <w:r w:rsidR="008847B7" w:rsidRPr="00E421F6">
        <w:rPr>
          <w:rFonts w:ascii="仿宋_GB2312" w:eastAsia="仿宋_GB2312" w:hAnsi="Times New Roman" w:cs="Times New Roman" w:hint="eastAsia"/>
          <w:color w:val="000000"/>
          <w:kern w:val="0"/>
          <w:sz w:val="32"/>
          <w:szCs w:val="32"/>
        </w:rPr>
        <w:t>判断为PR-L的患者加以关注</w:t>
      </w:r>
      <w:r w:rsidR="00A417F5" w:rsidRPr="00E421F6">
        <w:rPr>
          <w:rFonts w:ascii="仿宋_GB2312" w:eastAsia="仿宋_GB2312" w:hAnsi="Times New Roman" w:cs="Times New Roman" w:hint="eastAsia"/>
          <w:color w:val="000000"/>
          <w:kern w:val="0"/>
          <w:sz w:val="32"/>
          <w:szCs w:val="32"/>
        </w:rPr>
        <w:t>。在与历史数据进行对照时，不应该将PR-L计入ORR</w:t>
      </w:r>
      <w:r w:rsidR="00FF72A6" w:rsidRPr="00E421F6">
        <w:rPr>
          <w:rFonts w:ascii="仿宋_GB2312" w:eastAsia="仿宋_GB2312" w:hAnsi="Times New Roman" w:cs="Times New Roman" w:hint="eastAsia"/>
          <w:color w:val="000000"/>
          <w:kern w:val="0"/>
          <w:sz w:val="32"/>
          <w:szCs w:val="32"/>
        </w:rPr>
        <w:t>进行比较</w:t>
      </w:r>
      <w:r w:rsidR="00A417F5" w:rsidRPr="00E421F6">
        <w:rPr>
          <w:rFonts w:ascii="仿宋_GB2312" w:eastAsia="仿宋_GB2312" w:hAnsi="Times New Roman" w:cs="Times New Roman" w:hint="eastAsia"/>
          <w:color w:val="000000"/>
          <w:kern w:val="0"/>
          <w:sz w:val="32"/>
          <w:szCs w:val="32"/>
        </w:rPr>
        <w:t>。</w:t>
      </w:r>
    </w:p>
    <w:p w:rsidR="008847B7" w:rsidRPr="00E421F6" w:rsidRDefault="008847B7"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疾病进展（</w:t>
      </w:r>
      <w:r w:rsidR="00750048" w:rsidRPr="005A0939">
        <w:rPr>
          <w:rFonts w:ascii="仿宋_GB2312" w:eastAsia="仿宋_GB2312" w:hAnsi="Times New Roman" w:cs="Times New Roman" w:hint="eastAsia"/>
          <w:b/>
          <w:color w:val="000000"/>
          <w:kern w:val="0"/>
          <w:sz w:val="32"/>
          <w:szCs w:val="32"/>
        </w:rPr>
        <w:t>Progressive disease，PD）</w:t>
      </w:r>
      <w:r w:rsidR="00750048" w:rsidRPr="00E421F6">
        <w:rPr>
          <w:rFonts w:ascii="仿宋_GB2312" w:eastAsia="仿宋_GB2312" w:hAnsi="Times New Roman" w:cs="Times New Roman" w:hint="eastAsia"/>
          <w:color w:val="000000"/>
          <w:kern w:val="0"/>
          <w:sz w:val="32"/>
          <w:szCs w:val="32"/>
        </w:rPr>
        <w:t>：</w:t>
      </w:r>
      <w:r w:rsidR="00E07754" w:rsidRPr="00E421F6">
        <w:rPr>
          <w:rFonts w:ascii="仿宋_GB2312" w:eastAsia="仿宋_GB2312" w:hAnsi="Times New Roman" w:cs="Times New Roman" w:hint="eastAsia"/>
          <w:color w:val="000000"/>
          <w:kern w:val="0"/>
          <w:sz w:val="32"/>
          <w:szCs w:val="32"/>
        </w:rPr>
        <w:t>在PD标准中，血小板和血红蛋白下降应除外</w:t>
      </w:r>
      <w:r w:rsidR="002F6EBC" w:rsidRPr="00E421F6">
        <w:rPr>
          <w:rFonts w:ascii="仿宋_GB2312" w:eastAsia="仿宋_GB2312" w:hAnsi="Times New Roman" w:cs="Times New Roman" w:hint="eastAsia"/>
          <w:color w:val="000000"/>
          <w:kern w:val="0"/>
          <w:sz w:val="32"/>
          <w:szCs w:val="32"/>
        </w:rPr>
        <w:t>治疗</w:t>
      </w:r>
      <w:r w:rsidR="00E07754" w:rsidRPr="00E421F6">
        <w:rPr>
          <w:rFonts w:ascii="仿宋_GB2312" w:eastAsia="仿宋_GB2312" w:hAnsi="Times New Roman" w:cs="Times New Roman" w:hint="eastAsia"/>
          <w:color w:val="000000"/>
          <w:kern w:val="0"/>
          <w:sz w:val="32"/>
          <w:szCs w:val="32"/>
        </w:rPr>
        <w:t>毒性和自身免疫性等非CLL原因</w:t>
      </w:r>
      <w:r w:rsidR="002F6EBC" w:rsidRPr="00E421F6">
        <w:rPr>
          <w:rFonts w:ascii="仿宋_GB2312" w:eastAsia="仿宋_GB2312" w:hAnsi="Times New Roman" w:cs="Times New Roman" w:hint="eastAsia"/>
          <w:color w:val="000000"/>
          <w:kern w:val="0"/>
          <w:sz w:val="32"/>
          <w:szCs w:val="32"/>
        </w:rPr>
        <w:t>导致的</w:t>
      </w:r>
      <w:r w:rsidR="00E07754" w:rsidRPr="00E421F6">
        <w:rPr>
          <w:rFonts w:ascii="仿宋_GB2312" w:eastAsia="仿宋_GB2312" w:hAnsi="Times New Roman" w:cs="Times New Roman" w:hint="eastAsia"/>
          <w:color w:val="000000"/>
          <w:kern w:val="0"/>
          <w:sz w:val="32"/>
          <w:szCs w:val="32"/>
        </w:rPr>
        <w:t>血细胞减少，无法区分时应该进行骨髓穿刺或活检予以鉴别诊断。</w:t>
      </w:r>
    </w:p>
    <w:p w:rsidR="00C360DD" w:rsidRPr="00E421F6" w:rsidRDefault="00802269"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微</w:t>
      </w:r>
      <w:r w:rsidR="00434C21" w:rsidRPr="005A0939">
        <w:rPr>
          <w:rFonts w:ascii="仿宋_GB2312" w:eastAsia="仿宋_GB2312" w:hAnsi="Times New Roman" w:cs="Times New Roman" w:hint="eastAsia"/>
          <w:b/>
          <w:color w:val="000000"/>
          <w:kern w:val="0"/>
          <w:sz w:val="32"/>
          <w:szCs w:val="32"/>
        </w:rPr>
        <w:t>量</w:t>
      </w:r>
      <w:r w:rsidRPr="005A0939">
        <w:rPr>
          <w:rFonts w:ascii="仿宋_GB2312" w:eastAsia="仿宋_GB2312" w:hAnsi="Times New Roman" w:cs="Times New Roman" w:hint="eastAsia"/>
          <w:b/>
          <w:color w:val="000000"/>
          <w:kern w:val="0"/>
          <w:sz w:val="32"/>
          <w:szCs w:val="32"/>
        </w:rPr>
        <w:t>残留病</w:t>
      </w:r>
      <w:r w:rsidR="00DF114C" w:rsidRPr="005A0939">
        <w:rPr>
          <w:rFonts w:ascii="仿宋_GB2312" w:eastAsia="仿宋_GB2312" w:hAnsi="Times New Roman" w:cs="Times New Roman" w:hint="eastAsia"/>
          <w:b/>
          <w:color w:val="000000"/>
          <w:kern w:val="0"/>
          <w:sz w:val="32"/>
          <w:szCs w:val="32"/>
        </w:rPr>
        <w:t>（Minimal residual disease，MRD）</w:t>
      </w:r>
      <w:r w:rsidRPr="00E421F6">
        <w:rPr>
          <w:rFonts w:ascii="仿宋_GB2312" w:eastAsia="仿宋_GB2312" w:hAnsi="Times New Roman" w:cs="Times New Roman" w:hint="eastAsia"/>
          <w:color w:val="000000"/>
          <w:kern w:val="0"/>
          <w:sz w:val="32"/>
          <w:szCs w:val="32"/>
        </w:rPr>
        <w:t>：</w:t>
      </w:r>
      <w:r w:rsidR="00FF6EE0" w:rsidRPr="00E421F6">
        <w:rPr>
          <w:rFonts w:ascii="仿宋_GB2312" w:eastAsia="仿宋_GB2312" w:hAnsi="Times New Roman" w:cs="Times New Roman" w:hint="eastAsia"/>
          <w:color w:val="000000"/>
          <w:kern w:val="0"/>
          <w:sz w:val="32"/>
          <w:szCs w:val="32"/>
        </w:rPr>
        <w:t>对于达到CR的患者，应该考虑进行MRD检测以进一步评价缓解深度，</w:t>
      </w:r>
      <w:r w:rsidR="00905378" w:rsidRPr="00E421F6">
        <w:rPr>
          <w:rFonts w:ascii="仿宋_GB2312" w:eastAsia="仿宋_GB2312" w:hAnsi="Times New Roman" w:cs="Times New Roman" w:hint="eastAsia"/>
          <w:color w:val="000000"/>
          <w:kern w:val="0"/>
          <w:sz w:val="32"/>
          <w:szCs w:val="32"/>
        </w:rPr>
        <w:t>鼓励申请人</w:t>
      </w:r>
      <w:r w:rsidR="00FF6EE0" w:rsidRPr="00E421F6">
        <w:rPr>
          <w:rFonts w:ascii="仿宋_GB2312" w:eastAsia="仿宋_GB2312" w:hAnsi="Times New Roman" w:cs="Times New Roman" w:hint="eastAsia"/>
          <w:color w:val="000000"/>
          <w:kern w:val="0"/>
          <w:sz w:val="32"/>
          <w:szCs w:val="32"/>
        </w:rPr>
        <w:t>在临床试验中探索MRD在预后判断和</w:t>
      </w:r>
      <w:r w:rsidR="002F6EBC" w:rsidRPr="00E421F6">
        <w:rPr>
          <w:rFonts w:ascii="仿宋_GB2312" w:eastAsia="仿宋_GB2312" w:hAnsi="Times New Roman" w:cs="Times New Roman" w:hint="eastAsia"/>
          <w:color w:val="000000"/>
          <w:kern w:val="0"/>
          <w:sz w:val="32"/>
          <w:szCs w:val="32"/>
        </w:rPr>
        <w:t>治疗</w:t>
      </w:r>
      <w:r w:rsidR="00FF6EE0" w:rsidRPr="00E421F6">
        <w:rPr>
          <w:rFonts w:ascii="仿宋_GB2312" w:eastAsia="仿宋_GB2312" w:hAnsi="Times New Roman" w:cs="Times New Roman" w:hint="eastAsia"/>
          <w:color w:val="000000"/>
          <w:kern w:val="0"/>
          <w:sz w:val="32"/>
          <w:szCs w:val="32"/>
        </w:rPr>
        <w:t>方案优化</w:t>
      </w:r>
      <w:r w:rsidR="00905378" w:rsidRPr="00E421F6">
        <w:rPr>
          <w:rFonts w:ascii="仿宋_GB2312" w:eastAsia="仿宋_GB2312" w:hAnsi="Times New Roman" w:cs="Times New Roman" w:hint="eastAsia"/>
          <w:color w:val="000000"/>
          <w:kern w:val="0"/>
          <w:sz w:val="32"/>
          <w:szCs w:val="32"/>
        </w:rPr>
        <w:t>（例如</w:t>
      </w:r>
      <w:r w:rsidR="002F6EBC" w:rsidRPr="00E421F6">
        <w:rPr>
          <w:rFonts w:ascii="仿宋_GB2312" w:eastAsia="仿宋_GB2312" w:hAnsi="Times New Roman" w:cs="Times New Roman" w:hint="eastAsia"/>
          <w:color w:val="000000"/>
          <w:kern w:val="0"/>
          <w:sz w:val="32"/>
          <w:szCs w:val="32"/>
        </w:rPr>
        <w:t>停药指导）</w:t>
      </w:r>
      <w:r w:rsidR="00FF6EE0" w:rsidRPr="00E421F6">
        <w:rPr>
          <w:rFonts w:ascii="仿宋_GB2312" w:eastAsia="仿宋_GB2312" w:hAnsi="Times New Roman" w:cs="Times New Roman" w:hint="eastAsia"/>
          <w:color w:val="000000"/>
          <w:kern w:val="0"/>
          <w:sz w:val="32"/>
          <w:szCs w:val="32"/>
        </w:rPr>
        <w:t>方面的价值。</w:t>
      </w:r>
      <w:r w:rsidR="00905378" w:rsidRPr="00E421F6">
        <w:rPr>
          <w:rFonts w:ascii="仿宋_GB2312" w:eastAsia="仿宋_GB2312" w:hAnsi="Times New Roman" w:cs="Times New Roman" w:hint="eastAsia"/>
          <w:color w:val="000000"/>
          <w:kern w:val="0"/>
          <w:sz w:val="32"/>
          <w:szCs w:val="32"/>
        </w:rPr>
        <w:t>流式细胞术、聚合酶链</w:t>
      </w:r>
      <w:r w:rsidR="004F0034" w:rsidRPr="00E421F6">
        <w:rPr>
          <w:rFonts w:ascii="仿宋_GB2312" w:eastAsia="仿宋_GB2312" w:hAnsi="Times New Roman" w:cs="Times New Roman" w:hint="eastAsia"/>
          <w:color w:val="000000"/>
          <w:kern w:val="0"/>
          <w:sz w:val="32"/>
          <w:szCs w:val="32"/>
        </w:rPr>
        <w:t>式</w:t>
      </w:r>
      <w:r w:rsidR="00905378" w:rsidRPr="00E421F6">
        <w:rPr>
          <w:rFonts w:ascii="仿宋_GB2312" w:eastAsia="仿宋_GB2312" w:hAnsi="Times New Roman" w:cs="Times New Roman" w:hint="eastAsia"/>
          <w:color w:val="000000"/>
          <w:kern w:val="0"/>
          <w:sz w:val="32"/>
          <w:szCs w:val="32"/>
        </w:rPr>
        <w:t>反应（PCR）</w:t>
      </w:r>
      <w:r w:rsidR="00441CFA" w:rsidRPr="00E421F6">
        <w:rPr>
          <w:rFonts w:ascii="仿宋_GB2312" w:eastAsia="仿宋_GB2312" w:hAnsi="Times New Roman" w:cs="Times New Roman" w:hint="eastAsia"/>
          <w:color w:val="000000"/>
          <w:kern w:val="0"/>
          <w:sz w:val="32"/>
          <w:szCs w:val="32"/>
        </w:rPr>
        <w:t>是较为成熟的MRD检测方法，也可以采用二代</w:t>
      </w:r>
      <w:r w:rsidR="004F0034" w:rsidRPr="00E421F6">
        <w:rPr>
          <w:rFonts w:ascii="仿宋_GB2312" w:eastAsia="仿宋_GB2312" w:hAnsi="Times New Roman" w:cs="Times New Roman" w:hint="eastAsia"/>
          <w:color w:val="000000"/>
          <w:kern w:val="0"/>
          <w:sz w:val="32"/>
          <w:szCs w:val="32"/>
        </w:rPr>
        <w:t>DNA</w:t>
      </w:r>
      <w:r w:rsidR="00441CFA" w:rsidRPr="00E421F6">
        <w:rPr>
          <w:rFonts w:ascii="仿宋_GB2312" w:eastAsia="仿宋_GB2312" w:hAnsi="Times New Roman" w:cs="Times New Roman" w:hint="eastAsia"/>
          <w:color w:val="000000"/>
          <w:kern w:val="0"/>
          <w:sz w:val="32"/>
          <w:szCs w:val="32"/>
        </w:rPr>
        <w:t>测序</w:t>
      </w:r>
      <w:r w:rsidR="004F0034" w:rsidRPr="00E421F6">
        <w:rPr>
          <w:rFonts w:ascii="仿宋_GB2312" w:eastAsia="仿宋_GB2312" w:hAnsi="Times New Roman" w:cs="Times New Roman" w:hint="eastAsia"/>
          <w:color w:val="000000"/>
          <w:kern w:val="0"/>
          <w:sz w:val="32"/>
          <w:szCs w:val="32"/>
        </w:rPr>
        <w:t>技术</w:t>
      </w:r>
      <w:r w:rsidR="00441CFA" w:rsidRPr="00E421F6">
        <w:rPr>
          <w:rFonts w:ascii="仿宋_GB2312" w:eastAsia="仿宋_GB2312" w:hAnsi="Times New Roman" w:cs="Times New Roman" w:hint="eastAsia"/>
          <w:color w:val="000000"/>
          <w:kern w:val="0"/>
          <w:sz w:val="32"/>
          <w:szCs w:val="32"/>
        </w:rPr>
        <w:t>（NGS）</w:t>
      </w:r>
      <w:r w:rsidR="00FC56E0" w:rsidRPr="00E421F6">
        <w:rPr>
          <w:rFonts w:ascii="仿宋_GB2312" w:eastAsia="仿宋_GB2312" w:hAnsi="Times New Roman" w:cs="Times New Roman" w:hint="eastAsia"/>
          <w:color w:val="000000"/>
          <w:kern w:val="0"/>
          <w:sz w:val="32"/>
          <w:szCs w:val="32"/>
        </w:rPr>
        <w:t>，</w:t>
      </w:r>
      <w:r w:rsidR="0038008B" w:rsidRPr="00E421F6">
        <w:rPr>
          <w:rFonts w:ascii="仿宋_GB2312" w:eastAsia="仿宋_GB2312" w:hAnsi="Times New Roman" w:cs="Times New Roman" w:hint="eastAsia"/>
          <w:color w:val="000000"/>
          <w:kern w:val="0"/>
          <w:sz w:val="32"/>
          <w:szCs w:val="32"/>
        </w:rPr>
        <w:t>检测</w:t>
      </w:r>
      <w:r w:rsidR="00FC56E0" w:rsidRPr="00E421F6">
        <w:rPr>
          <w:rFonts w:ascii="仿宋_GB2312" w:eastAsia="仿宋_GB2312" w:hAnsi="Times New Roman" w:cs="Times New Roman" w:hint="eastAsia"/>
          <w:color w:val="000000"/>
          <w:kern w:val="0"/>
          <w:sz w:val="32"/>
          <w:szCs w:val="32"/>
        </w:rPr>
        <w:t>方法的敏感度应该足以</w:t>
      </w:r>
      <w:r w:rsidR="0038008B" w:rsidRPr="00E421F6">
        <w:rPr>
          <w:rFonts w:ascii="仿宋_GB2312" w:eastAsia="仿宋_GB2312" w:hAnsi="Times New Roman" w:cs="Times New Roman" w:hint="eastAsia"/>
          <w:color w:val="000000"/>
          <w:kern w:val="0"/>
          <w:sz w:val="32"/>
          <w:szCs w:val="32"/>
        </w:rPr>
        <w:t>检测到10,000个白细胞中的1个CLL细胞（MRD</w:t>
      </w:r>
      <w:r w:rsidR="00FC56E0" w:rsidRPr="00E421F6">
        <w:rPr>
          <w:rFonts w:ascii="仿宋_GB2312" w:eastAsia="仿宋_GB2312" w:hAnsi="Times New Roman" w:cs="Times New Roman" w:hint="eastAsia"/>
          <w:color w:val="000000"/>
          <w:kern w:val="0"/>
          <w:sz w:val="32"/>
          <w:szCs w:val="32"/>
        </w:rPr>
        <w:t>＜10-4</w:t>
      </w:r>
      <w:r w:rsidR="0038008B" w:rsidRPr="00E421F6">
        <w:rPr>
          <w:rFonts w:ascii="仿宋_GB2312" w:eastAsia="仿宋_GB2312" w:hAnsi="Times New Roman" w:cs="Times New Roman" w:hint="eastAsia"/>
          <w:color w:val="000000"/>
          <w:kern w:val="0"/>
          <w:sz w:val="32"/>
          <w:szCs w:val="32"/>
        </w:rPr>
        <w:t>或</w:t>
      </w:r>
      <w:r w:rsidR="00FC56E0" w:rsidRPr="00E421F6">
        <w:rPr>
          <w:rFonts w:ascii="仿宋_GB2312" w:eastAsia="仿宋_GB2312" w:hAnsi="Times New Roman" w:cs="Times New Roman" w:hint="eastAsia"/>
          <w:color w:val="000000"/>
          <w:kern w:val="0"/>
          <w:sz w:val="32"/>
          <w:szCs w:val="32"/>
        </w:rPr>
        <w:t>0.01%）</w:t>
      </w:r>
      <w:r w:rsidR="004F0034" w:rsidRPr="00E421F6">
        <w:rPr>
          <w:rFonts w:ascii="仿宋_GB2312" w:eastAsia="仿宋_GB2312" w:hAnsi="Times New Roman" w:cs="Times New Roman" w:hint="eastAsia"/>
          <w:color w:val="000000"/>
          <w:kern w:val="0"/>
          <w:sz w:val="32"/>
          <w:szCs w:val="32"/>
        </w:rPr>
        <w:t>。</w:t>
      </w:r>
      <w:r w:rsidR="00414A95" w:rsidRPr="00E421F6">
        <w:rPr>
          <w:rFonts w:ascii="仿宋_GB2312" w:eastAsia="仿宋_GB2312" w:hAnsi="Times New Roman" w:cs="Times New Roman" w:hint="eastAsia"/>
          <w:color w:val="000000"/>
          <w:kern w:val="0"/>
          <w:sz w:val="32"/>
          <w:szCs w:val="32"/>
        </w:rPr>
        <w:t>MRD检测的取材可以是</w:t>
      </w:r>
      <w:r w:rsidR="00FC56E0" w:rsidRPr="00E421F6">
        <w:rPr>
          <w:rFonts w:ascii="仿宋_GB2312" w:eastAsia="仿宋_GB2312" w:hAnsi="Times New Roman" w:cs="Times New Roman" w:hint="eastAsia"/>
          <w:color w:val="000000"/>
          <w:kern w:val="0"/>
          <w:sz w:val="32"/>
          <w:szCs w:val="32"/>
        </w:rPr>
        <w:t>骨髓和外周血</w:t>
      </w:r>
      <w:r w:rsidR="00414A95" w:rsidRPr="00E421F6">
        <w:rPr>
          <w:rFonts w:ascii="仿宋_GB2312" w:eastAsia="仿宋_GB2312" w:hAnsi="Times New Roman" w:cs="Times New Roman" w:hint="eastAsia"/>
          <w:color w:val="000000"/>
          <w:kern w:val="0"/>
          <w:sz w:val="32"/>
          <w:szCs w:val="32"/>
        </w:rPr>
        <w:t>，但</w:t>
      </w:r>
      <w:r w:rsidR="00E6055E" w:rsidRPr="00E421F6">
        <w:rPr>
          <w:rFonts w:ascii="仿宋_GB2312" w:eastAsia="仿宋_GB2312" w:hAnsi="Times New Roman" w:cs="Times New Roman" w:hint="eastAsia"/>
          <w:color w:val="000000"/>
          <w:kern w:val="0"/>
          <w:sz w:val="32"/>
          <w:szCs w:val="32"/>
        </w:rPr>
        <w:t>两种取材</w:t>
      </w:r>
      <w:r w:rsidR="00C15701" w:rsidRPr="00E421F6">
        <w:rPr>
          <w:rFonts w:ascii="仿宋_GB2312" w:eastAsia="仿宋_GB2312" w:hAnsi="Times New Roman" w:cs="Times New Roman" w:hint="eastAsia"/>
          <w:color w:val="000000"/>
          <w:kern w:val="0"/>
          <w:sz w:val="32"/>
          <w:szCs w:val="32"/>
        </w:rPr>
        <w:t>的检测结果存在差异，</w:t>
      </w:r>
      <w:r w:rsidR="00414A95" w:rsidRPr="00E421F6">
        <w:rPr>
          <w:rFonts w:ascii="仿宋_GB2312" w:eastAsia="仿宋_GB2312" w:hAnsi="Times New Roman" w:cs="Times New Roman" w:hint="eastAsia"/>
          <w:color w:val="000000"/>
          <w:kern w:val="0"/>
          <w:sz w:val="32"/>
          <w:szCs w:val="32"/>
        </w:rPr>
        <w:t>有研究表明骨髓中</w:t>
      </w:r>
      <w:r w:rsidR="00DB5AD1" w:rsidRPr="00E421F6">
        <w:rPr>
          <w:rFonts w:ascii="仿宋_GB2312" w:eastAsia="仿宋_GB2312" w:hAnsi="Times New Roman" w:cs="Times New Roman" w:hint="eastAsia"/>
          <w:color w:val="000000"/>
          <w:kern w:val="0"/>
          <w:sz w:val="32"/>
          <w:szCs w:val="32"/>
        </w:rPr>
        <w:t>不可</w:t>
      </w:r>
      <w:r w:rsidR="00414A95" w:rsidRPr="00E421F6">
        <w:rPr>
          <w:rFonts w:ascii="仿宋_GB2312" w:eastAsia="仿宋_GB2312" w:hAnsi="Times New Roman" w:cs="Times New Roman" w:hint="eastAsia"/>
          <w:color w:val="000000"/>
          <w:kern w:val="0"/>
          <w:sz w:val="32"/>
          <w:szCs w:val="32"/>
        </w:rPr>
        <w:t>检出MRD（</w:t>
      </w:r>
      <w:proofErr w:type="spellStart"/>
      <w:r w:rsidR="00414A95" w:rsidRPr="00E421F6">
        <w:rPr>
          <w:rFonts w:ascii="仿宋_GB2312" w:eastAsia="仿宋_GB2312" w:hAnsi="Times New Roman" w:cs="Times New Roman" w:hint="eastAsia"/>
          <w:color w:val="000000"/>
          <w:kern w:val="0"/>
          <w:sz w:val="32"/>
          <w:szCs w:val="32"/>
        </w:rPr>
        <w:t>uMRD</w:t>
      </w:r>
      <w:proofErr w:type="spellEnd"/>
      <w:r w:rsidR="00414A95" w:rsidRPr="00E421F6">
        <w:rPr>
          <w:rFonts w:ascii="仿宋_GB2312" w:eastAsia="仿宋_GB2312" w:hAnsi="Times New Roman" w:cs="Times New Roman" w:hint="eastAsia"/>
          <w:color w:val="000000"/>
          <w:kern w:val="0"/>
          <w:sz w:val="32"/>
          <w:szCs w:val="32"/>
        </w:rPr>
        <w:t>）相比外周血</w:t>
      </w:r>
      <w:proofErr w:type="spellStart"/>
      <w:r w:rsidR="00414A95" w:rsidRPr="00E421F6">
        <w:rPr>
          <w:rFonts w:ascii="仿宋_GB2312" w:eastAsia="仿宋_GB2312" w:hAnsi="Times New Roman" w:cs="Times New Roman" w:hint="eastAsia"/>
          <w:color w:val="000000"/>
          <w:kern w:val="0"/>
          <w:sz w:val="32"/>
          <w:szCs w:val="32"/>
        </w:rPr>
        <w:t>uMRD</w:t>
      </w:r>
      <w:proofErr w:type="spellEnd"/>
      <w:r w:rsidR="00414A95" w:rsidRPr="00E421F6">
        <w:rPr>
          <w:rFonts w:ascii="仿宋_GB2312" w:eastAsia="仿宋_GB2312" w:hAnsi="Times New Roman" w:cs="Times New Roman" w:hint="eastAsia"/>
          <w:color w:val="000000"/>
          <w:kern w:val="0"/>
          <w:sz w:val="32"/>
          <w:szCs w:val="32"/>
        </w:rPr>
        <w:t>是更好的预后指标</w:t>
      </w:r>
      <w:r w:rsidR="00C15701" w:rsidRPr="00EC073B">
        <w:rPr>
          <w:rFonts w:ascii="仿宋_GB2312" w:eastAsia="仿宋_GB2312" w:hAnsi="Times New Roman" w:cs="Times New Roman" w:hint="eastAsia"/>
          <w:color w:val="000000"/>
          <w:kern w:val="0"/>
          <w:sz w:val="32"/>
          <w:szCs w:val="32"/>
          <w:vertAlign w:val="superscript"/>
        </w:rPr>
        <w:t>[8]</w:t>
      </w:r>
      <w:r w:rsidR="00414A95" w:rsidRPr="00E421F6">
        <w:rPr>
          <w:rFonts w:ascii="仿宋_GB2312" w:eastAsia="仿宋_GB2312" w:hAnsi="Times New Roman" w:cs="Times New Roman" w:hint="eastAsia"/>
          <w:color w:val="000000"/>
          <w:kern w:val="0"/>
          <w:sz w:val="32"/>
          <w:szCs w:val="32"/>
        </w:rPr>
        <w:t>，但外周血取材</w:t>
      </w:r>
      <w:r w:rsidR="001630C4" w:rsidRPr="00E421F6">
        <w:rPr>
          <w:rFonts w:ascii="仿宋_GB2312" w:eastAsia="仿宋_GB2312" w:hAnsi="Times New Roman" w:cs="Times New Roman" w:hint="eastAsia"/>
          <w:color w:val="000000"/>
          <w:kern w:val="0"/>
          <w:sz w:val="32"/>
          <w:szCs w:val="32"/>
        </w:rPr>
        <w:t>更加便利且</w:t>
      </w:r>
      <w:r w:rsidR="00414A95" w:rsidRPr="00E421F6">
        <w:rPr>
          <w:rFonts w:ascii="仿宋_GB2312" w:eastAsia="仿宋_GB2312" w:hAnsi="Times New Roman" w:cs="Times New Roman" w:hint="eastAsia"/>
          <w:color w:val="000000"/>
          <w:kern w:val="0"/>
          <w:sz w:val="32"/>
          <w:szCs w:val="32"/>
        </w:rPr>
        <w:t>创伤性更小。建议根据临床试验中</w:t>
      </w:r>
      <w:r w:rsidR="003C79A4" w:rsidRPr="00E421F6">
        <w:rPr>
          <w:rFonts w:ascii="仿宋_GB2312" w:eastAsia="仿宋_GB2312" w:hAnsi="Times New Roman" w:cs="Times New Roman" w:hint="eastAsia"/>
          <w:color w:val="000000"/>
          <w:kern w:val="0"/>
          <w:sz w:val="32"/>
          <w:szCs w:val="32"/>
        </w:rPr>
        <w:t>具体的试验药物、</w:t>
      </w:r>
      <w:r w:rsidR="00414A95" w:rsidRPr="00E421F6">
        <w:rPr>
          <w:rFonts w:ascii="仿宋_GB2312" w:eastAsia="仿宋_GB2312" w:hAnsi="Times New Roman" w:cs="Times New Roman" w:hint="eastAsia"/>
          <w:color w:val="000000"/>
          <w:kern w:val="0"/>
          <w:sz w:val="32"/>
          <w:szCs w:val="32"/>
        </w:rPr>
        <w:t>MRD检测的目的和患者人群的治疗目标，合理选择MRD检测的</w:t>
      </w:r>
      <w:r w:rsidR="003C79A4" w:rsidRPr="00E421F6">
        <w:rPr>
          <w:rFonts w:ascii="仿宋_GB2312" w:eastAsia="仿宋_GB2312" w:hAnsi="Times New Roman" w:cs="Times New Roman" w:hint="eastAsia"/>
          <w:color w:val="000000"/>
          <w:kern w:val="0"/>
          <w:sz w:val="32"/>
          <w:szCs w:val="32"/>
        </w:rPr>
        <w:t>标本</w:t>
      </w:r>
      <w:r w:rsidR="003C79A4" w:rsidRPr="00E421F6">
        <w:rPr>
          <w:rFonts w:ascii="仿宋_GB2312" w:eastAsia="仿宋_GB2312" w:hAnsi="Times New Roman" w:cs="Times New Roman" w:hint="eastAsia"/>
          <w:color w:val="000000"/>
          <w:kern w:val="0"/>
          <w:sz w:val="32"/>
          <w:szCs w:val="32"/>
        </w:rPr>
        <w:lastRenderedPageBreak/>
        <w:t>取材</w:t>
      </w:r>
      <w:r w:rsidR="00692BCC" w:rsidRPr="00E421F6">
        <w:rPr>
          <w:rFonts w:ascii="仿宋_GB2312" w:eastAsia="仿宋_GB2312" w:hAnsi="Times New Roman" w:cs="Times New Roman" w:hint="eastAsia"/>
          <w:color w:val="000000"/>
          <w:kern w:val="0"/>
          <w:sz w:val="32"/>
          <w:szCs w:val="32"/>
        </w:rPr>
        <w:t>和检测时间点</w:t>
      </w:r>
      <w:r w:rsidR="000A6974" w:rsidRPr="00E421F6">
        <w:rPr>
          <w:rFonts w:ascii="仿宋_GB2312" w:eastAsia="仿宋_GB2312" w:hAnsi="Times New Roman" w:cs="Times New Roman" w:hint="eastAsia"/>
          <w:color w:val="000000"/>
          <w:kern w:val="0"/>
          <w:sz w:val="32"/>
          <w:szCs w:val="32"/>
        </w:rPr>
        <w:t>，</w:t>
      </w:r>
      <w:r w:rsidR="00692BCC" w:rsidRPr="00E421F6">
        <w:rPr>
          <w:rFonts w:ascii="仿宋_GB2312" w:eastAsia="仿宋_GB2312" w:hAnsi="Times New Roman" w:cs="Times New Roman" w:hint="eastAsia"/>
          <w:color w:val="000000"/>
          <w:kern w:val="0"/>
          <w:sz w:val="32"/>
          <w:szCs w:val="32"/>
        </w:rPr>
        <w:t>并在研究方案中预先规定</w:t>
      </w:r>
      <w:r w:rsidR="00414A95" w:rsidRPr="00E421F6">
        <w:rPr>
          <w:rFonts w:ascii="仿宋_GB2312" w:eastAsia="仿宋_GB2312" w:hAnsi="Times New Roman" w:cs="Times New Roman" w:hint="eastAsia"/>
          <w:color w:val="000000"/>
          <w:kern w:val="0"/>
          <w:sz w:val="32"/>
          <w:szCs w:val="32"/>
        </w:rPr>
        <w:t>。</w:t>
      </w:r>
      <w:r w:rsidR="00633497" w:rsidRPr="00E421F6">
        <w:rPr>
          <w:rFonts w:ascii="仿宋_GB2312" w:eastAsia="仿宋_GB2312" w:hAnsi="Times New Roman" w:cs="Times New Roman" w:hint="eastAsia"/>
          <w:color w:val="000000"/>
          <w:kern w:val="0"/>
          <w:sz w:val="32"/>
          <w:szCs w:val="32"/>
        </w:rPr>
        <w:t>在计算</w:t>
      </w:r>
      <w:proofErr w:type="spellStart"/>
      <w:r w:rsidR="00633497" w:rsidRPr="00E421F6">
        <w:rPr>
          <w:rFonts w:ascii="仿宋_GB2312" w:eastAsia="仿宋_GB2312" w:hAnsi="Times New Roman" w:cs="Times New Roman" w:hint="eastAsia"/>
          <w:color w:val="000000"/>
          <w:kern w:val="0"/>
          <w:sz w:val="32"/>
          <w:szCs w:val="32"/>
        </w:rPr>
        <w:t>uMRD</w:t>
      </w:r>
      <w:proofErr w:type="spellEnd"/>
      <w:r w:rsidR="00633497" w:rsidRPr="00E421F6">
        <w:rPr>
          <w:rFonts w:ascii="仿宋_GB2312" w:eastAsia="仿宋_GB2312" w:hAnsi="Times New Roman" w:cs="Times New Roman" w:hint="eastAsia"/>
          <w:color w:val="000000"/>
          <w:kern w:val="0"/>
          <w:sz w:val="32"/>
          <w:szCs w:val="32"/>
        </w:rPr>
        <w:t>率时，应以</w:t>
      </w:r>
      <w:r w:rsidR="00C32E0F" w:rsidRPr="00E421F6">
        <w:rPr>
          <w:rFonts w:ascii="仿宋_GB2312" w:eastAsia="仿宋_GB2312" w:hAnsi="Times New Roman" w:cs="Times New Roman" w:hint="eastAsia"/>
          <w:color w:val="000000"/>
          <w:kern w:val="0"/>
          <w:sz w:val="32"/>
          <w:szCs w:val="32"/>
        </w:rPr>
        <w:t>所有接受治疗</w:t>
      </w:r>
      <w:r w:rsidR="00337B4E" w:rsidRPr="00E421F6">
        <w:rPr>
          <w:rFonts w:ascii="仿宋_GB2312" w:eastAsia="仿宋_GB2312" w:hAnsi="Times New Roman" w:cs="Times New Roman" w:hint="eastAsia"/>
          <w:color w:val="000000"/>
          <w:kern w:val="0"/>
          <w:sz w:val="32"/>
          <w:szCs w:val="32"/>
        </w:rPr>
        <w:t>者</w:t>
      </w:r>
      <w:r w:rsidR="004C415C" w:rsidRPr="00E421F6">
        <w:rPr>
          <w:rFonts w:ascii="仿宋_GB2312" w:eastAsia="仿宋_GB2312" w:hAnsi="Times New Roman" w:cs="Times New Roman" w:hint="eastAsia"/>
          <w:color w:val="000000"/>
          <w:kern w:val="0"/>
          <w:sz w:val="32"/>
          <w:szCs w:val="32"/>
        </w:rPr>
        <w:t>而非达到CR</w:t>
      </w:r>
      <w:r w:rsidR="00337B4E" w:rsidRPr="00E421F6">
        <w:rPr>
          <w:rFonts w:ascii="仿宋_GB2312" w:eastAsia="仿宋_GB2312" w:hAnsi="Times New Roman" w:cs="Times New Roman" w:hint="eastAsia"/>
          <w:color w:val="000000"/>
          <w:kern w:val="0"/>
          <w:sz w:val="32"/>
          <w:szCs w:val="32"/>
        </w:rPr>
        <w:t>者</w:t>
      </w:r>
      <w:r w:rsidR="004C415C" w:rsidRPr="00E421F6">
        <w:rPr>
          <w:rFonts w:ascii="仿宋_GB2312" w:eastAsia="仿宋_GB2312" w:hAnsi="Times New Roman" w:cs="Times New Roman" w:hint="eastAsia"/>
          <w:color w:val="000000"/>
          <w:kern w:val="0"/>
          <w:sz w:val="32"/>
          <w:szCs w:val="32"/>
        </w:rPr>
        <w:t>作为分析集。</w:t>
      </w:r>
    </w:p>
    <w:p w:rsidR="00762757" w:rsidRPr="00E421F6" w:rsidRDefault="00E421F6" w:rsidP="00762757">
      <w:pPr>
        <w:pStyle w:val="2"/>
        <w:spacing w:before="0" w:after="0" w:line="360" w:lineRule="auto"/>
        <w:rPr>
          <w:rFonts w:ascii="楷体_GB2312" w:eastAsia="楷体_GB2312"/>
          <w:b w:val="0"/>
          <w:szCs w:val="32"/>
        </w:rPr>
      </w:pPr>
      <w:bookmarkStart w:id="16" w:name="_Toc104979990"/>
      <w:r>
        <w:rPr>
          <w:rFonts w:ascii="楷体_GB2312" w:eastAsia="楷体_GB2312" w:hint="eastAsia"/>
          <w:b w:val="0"/>
          <w:szCs w:val="32"/>
        </w:rPr>
        <w:t>（二）</w:t>
      </w:r>
      <w:r w:rsidR="00762757" w:rsidRPr="00E421F6">
        <w:rPr>
          <w:rFonts w:ascii="楷体_GB2312" w:eastAsia="楷体_GB2312" w:hint="eastAsia"/>
          <w:b w:val="0"/>
          <w:szCs w:val="32"/>
        </w:rPr>
        <w:t>时间相关指标</w:t>
      </w:r>
      <w:bookmarkEnd w:id="16"/>
    </w:p>
    <w:p w:rsidR="00762757" w:rsidRPr="00E421F6" w:rsidRDefault="00F90255"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无进展生存期</w:t>
      </w:r>
      <w:r w:rsidR="00C1634B" w:rsidRPr="005A0939">
        <w:rPr>
          <w:rFonts w:ascii="仿宋_GB2312" w:eastAsia="仿宋_GB2312" w:hAnsi="Times New Roman" w:cs="Times New Roman" w:hint="eastAsia"/>
          <w:b/>
          <w:color w:val="000000"/>
          <w:kern w:val="0"/>
          <w:sz w:val="32"/>
          <w:szCs w:val="32"/>
        </w:rPr>
        <w:t>（</w:t>
      </w:r>
      <w:r w:rsidRPr="005A0939">
        <w:rPr>
          <w:rFonts w:ascii="仿宋_GB2312" w:eastAsia="仿宋_GB2312" w:hAnsi="Times New Roman" w:cs="Times New Roman" w:hint="eastAsia"/>
          <w:b/>
          <w:color w:val="000000"/>
          <w:kern w:val="0"/>
          <w:sz w:val="32"/>
          <w:szCs w:val="32"/>
        </w:rPr>
        <w:t>Progression</w:t>
      </w:r>
      <w:r w:rsidR="00930D88" w:rsidRPr="005A0939">
        <w:rPr>
          <w:rFonts w:ascii="仿宋_GB2312" w:eastAsia="仿宋_GB2312" w:hAnsi="Times New Roman" w:cs="Times New Roman" w:hint="eastAsia"/>
          <w:b/>
          <w:color w:val="000000"/>
          <w:kern w:val="0"/>
          <w:sz w:val="32"/>
          <w:szCs w:val="32"/>
        </w:rPr>
        <w:t>-</w:t>
      </w:r>
      <w:r w:rsidRPr="005A0939">
        <w:rPr>
          <w:rFonts w:ascii="仿宋_GB2312" w:eastAsia="仿宋_GB2312" w:hAnsi="Times New Roman" w:cs="Times New Roman" w:hint="eastAsia"/>
          <w:b/>
          <w:color w:val="000000"/>
          <w:kern w:val="0"/>
          <w:sz w:val="32"/>
          <w:szCs w:val="32"/>
        </w:rPr>
        <w:t>free survival，PFS）</w:t>
      </w:r>
      <w:r w:rsidRPr="00E421F6">
        <w:rPr>
          <w:rFonts w:ascii="仿宋_GB2312" w:eastAsia="仿宋_GB2312" w:hAnsi="Times New Roman" w:cs="Times New Roman" w:hint="eastAsia"/>
          <w:color w:val="000000"/>
          <w:kern w:val="0"/>
          <w:sz w:val="32"/>
          <w:szCs w:val="32"/>
        </w:rPr>
        <w:t>：</w:t>
      </w:r>
      <w:r w:rsidR="00780E58" w:rsidRPr="00E421F6">
        <w:rPr>
          <w:rFonts w:ascii="仿宋_GB2312" w:eastAsia="仿宋_GB2312" w:hAnsi="Times New Roman" w:cs="Times New Roman" w:hint="eastAsia"/>
          <w:color w:val="000000"/>
          <w:kern w:val="0"/>
          <w:sz w:val="32"/>
          <w:szCs w:val="32"/>
        </w:rPr>
        <w:t>定义为从首次接受治疗之日（随机对照研究中为随机之日）</w:t>
      </w:r>
      <w:proofErr w:type="gramStart"/>
      <w:r w:rsidR="00780E58" w:rsidRPr="00E421F6">
        <w:rPr>
          <w:rFonts w:ascii="仿宋_GB2312" w:eastAsia="仿宋_GB2312" w:hAnsi="Times New Roman" w:cs="Times New Roman" w:hint="eastAsia"/>
          <w:color w:val="000000"/>
          <w:kern w:val="0"/>
          <w:sz w:val="32"/>
          <w:szCs w:val="32"/>
        </w:rPr>
        <w:t>至疾病</w:t>
      </w:r>
      <w:proofErr w:type="gramEnd"/>
      <w:r w:rsidR="00780E58" w:rsidRPr="00E421F6">
        <w:rPr>
          <w:rFonts w:ascii="仿宋_GB2312" w:eastAsia="仿宋_GB2312" w:hAnsi="Times New Roman" w:cs="Times New Roman" w:hint="eastAsia"/>
          <w:color w:val="000000"/>
          <w:kern w:val="0"/>
          <w:sz w:val="32"/>
          <w:szCs w:val="32"/>
        </w:rPr>
        <w:t>进展的首个症状或体征变化出现之日或</w:t>
      </w:r>
      <w:r w:rsidR="00930D88" w:rsidRPr="00E421F6">
        <w:rPr>
          <w:rFonts w:ascii="仿宋_GB2312" w:eastAsia="仿宋_GB2312" w:hAnsi="Times New Roman" w:cs="Times New Roman" w:hint="eastAsia"/>
          <w:color w:val="000000"/>
          <w:kern w:val="0"/>
          <w:sz w:val="32"/>
          <w:szCs w:val="32"/>
        </w:rPr>
        <w:t>任何原因导致的死亡</w:t>
      </w:r>
      <w:r w:rsidR="00E906E3" w:rsidRPr="00E421F6">
        <w:rPr>
          <w:rFonts w:ascii="仿宋_GB2312" w:eastAsia="仿宋_GB2312" w:hAnsi="Times New Roman" w:cs="Times New Roman" w:hint="eastAsia"/>
          <w:color w:val="000000"/>
          <w:kern w:val="0"/>
          <w:sz w:val="32"/>
          <w:szCs w:val="32"/>
        </w:rPr>
        <w:t>之日（以</w:t>
      </w:r>
      <w:r w:rsidR="00A17A8C" w:rsidRPr="00E421F6">
        <w:rPr>
          <w:rFonts w:ascii="仿宋_GB2312" w:eastAsia="仿宋_GB2312" w:hAnsi="Times New Roman" w:cs="Times New Roman" w:hint="eastAsia"/>
          <w:color w:val="000000"/>
          <w:kern w:val="0"/>
          <w:sz w:val="32"/>
          <w:szCs w:val="32"/>
        </w:rPr>
        <w:t>最</w:t>
      </w:r>
      <w:r w:rsidR="00E906E3" w:rsidRPr="00E421F6">
        <w:rPr>
          <w:rFonts w:ascii="仿宋_GB2312" w:eastAsia="仿宋_GB2312" w:hAnsi="Times New Roman" w:cs="Times New Roman" w:hint="eastAsia"/>
          <w:color w:val="000000"/>
          <w:kern w:val="0"/>
          <w:sz w:val="32"/>
          <w:szCs w:val="32"/>
        </w:rPr>
        <w:t>早发生的事件为准）</w:t>
      </w:r>
      <w:r w:rsidR="00930D88" w:rsidRPr="00E421F6">
        <w:rPr>
          <w:rFonts w:ascii="仿宋_GB2312" w:eastAsia="仿宋_GB2312" w:hAnsi="Times New Roman" w:cs="Times New Roman" w:hint="eastAsia"/>
          <w:color w:val="000000"/>
          <w:kern w:val="0"/>
          <w:sz w:val="32"/>
          <w:szCs w:val="32"/>
        </w:rPr>
        <w:t>的时间。</w:t>
      </w:r>
    </w:p>
    <w:p w:rsidR="00930D88" w:rsidRPr="00E421F6" w:rsidRDefault="00930D88" w:rsidP="00E421F6">
      <w:pPr>
        <w:spacing w:line="360" w:lineRule="auto"/>
        <w:ind w:firstLineChars="200" w:firstLine="643"/>
        <w:rPr>
          <w:rFonts w:ascii="仿宋_GB2312" w:eastAsia="仿宋_GB2312" w:hAnsi="Times New Roman" w:cs="Times New Roman"/>
          <w:color w:val="000000"/>
          <w:kern w:val="0"/>
          <w:sz w:val="32"/>
          <w:szCs w:val="32"/>
        </w:rPr>
      </w:pPr>
      <w:proofErr w:type="gramStart"/>
      <w:r w:rsidRPr="005A0939">
        <w:rPr>
          <w:rFonts w:ascii="仿宋_GB2312" w:eastAsia="仿宋_GB2312" w:hAnsi="Times New Roman" w:cs="Times New Roman" w:hint="eastAsia"/>
          <w:b/>
          <w:color w:val="000000"/>
          <w:kern w:val="0"/>
          <w:sz w:val="32"/>
          <w:szCs w:val="32"/>
        </w:rPr>
        <w:t>无事件</w:t>
      </w:r>
      <w:proofErr w:type="gramEnd"/>
      <w:r w:rsidRPr="005A0939">
        <w:rPr>
          <w:rFonts w:ascii="仿宋_GB2312" w:eastAsia="仿宋_GB2312" w:hAnsi="Times New Roman" w:cs="Times New Roman" w:hint="eastAsia"/>
          <w:b/>
          <w:color w:val="000000"/>
          <w:kern w:val="0"/>
          <w:sz w:val="32"/>
          <w:szCs w:val="32"/>
        </w:rPr>
        <w:t>生存期（Event-free survival，EFS）</w:t>
      </w:r>
      <w:r w:rsidRPr="00E421F6">
        <w:rPr>
          <w:rFonts w:ascii="仿宋_GB2312" w:eastAsia="仿宋_GB2312" w:hAnsi="Times New Roman" w:cs="Times New Roman" w:hint="eastAsia"/>
          <w:color w:val="000000"/>
          <w:kern w:val="0"/>
          <w:sz w:val="32"/>
          <w:szCs w:val="32"/>
        </w:rPr>
        <w:t>：定义为</w:t>
      </w:r>
      <w:r w:rsidR="00E906E3" w:rsidRPr="00E421F6">
        <w:rPr>
          <w:rFonts w:ascii="仿宋_GB2312" w:eastAsia="仿宋_GB2312" w:hAnsi="Times New Roman" w:cs="Times New Roman" w:hint="eastAsia"/>
          <w:color w:val="000000"/>
          <w:kern w:val="0"/>
          <w:sz w:val="32"/>
          <w:szCs w:val="32"/>
        </w:rPr>
        <w:t>从首次接受治疗之日（随机对照研究中为随机之日）</w:t>
      </w:r>
      <w:proofErr w:type="gramStart"/>
      <w:r w:rsidR="00E906E3" w:rsidRPr="00E421F6">
        <w:rPr>
          <w:rFonts w:ascii="仿宋_GB2312" w:eastAsia="仿宋_GB2312" w:hAnsi="Times New Roman" w:cs="Times New Roman" w:hint="eastAsia"/>
          <w:color w:val="000000"/>
          <w:kern w:val="0"/>
          <w:sz w:val="32"/>
          <w:szCs w:val="32"/>
        </w:rPr>
        <w:t>至疾病</w:t>
      </w:r>
      <w:proofErr w:type="gramEnd"/>
      <w:r w:rsidR="00E906E3" w:rsidRPr="00E421F6">
        <w:rPr>
          <w:rFonts w:ascii="仿宋_GB2312" w:eastAsia="仿宋_GB2312" w:hAnsi="Times New Roman" w:cs="Times New Roman" w:hint="eastAsia"/>
          <w:color w:val="000000"/>
          <w:kern w:val="0"/>
          <w:sz w:val="32"/>
          <w:szCs w:val="32"/>
        </w:rPr>
        <w:t>进展的首个症状或体征变化出现之日、或开始新的抗肿瘤治疗之日、或因为药物毒性退出试验之日或死亡之日（以</w:t>
      </w:r>
      <w:r w:rsidR="00A17A8C" w:rsidRPr="00E421F6">
        <w:rPr>
          <w:rFonts w:ascii="仿宋_GB2312" w:eastAsia="仿宋_GB2312" w:hAnsi="Times New Roman" w:cs="Times New Roman" w:hint="eastAsia"/>
          <w:color w:val="000000"/>
          <w:kern w:val="0"/>
          <w:sz w:val="32"/>
          <w:szCs w:val="32"/>
        </w:rPr>
        <w:t>最</w:t>
      </w:r>
      <w:r w:rsidR="00E906E3" w:rsidRPr="00E421F6">
        <w:rPr>
          <w:rFonts w:ascii="仿宋_GB2312" w:eastAsia="仿宋_GB2312" w:hAnsi="Times New Roman" w:cs="Times New Roman" w:hint="eastAsia"/>
          <w:color w:val="000000"/>
          <w:kern w:val="0"/>
          <w:sz w:val="32"/>
          <w:szCs w:val="32"/>
        </w:rPr>
        <w:t>早发生的事件为准）的时间。</w:t>
      </w:r>
      <w:r w:rsidR="002E3C64" w:rsidRPr="00E421F6">
        <w:rPr>
          <w:rFonts w:ascii="仿宋_GB2312" w:eastAsia="仿宋_GB2312" w:hAnsi="Times New Roman" w:cs="Times New Roman" w:hint="eastAsia"/>
          <w:color w:val="000000"/>
          <w:kern w:val="0"/>
          <w:sz w:val="32"/>
          <w:szCs w:val="32"/>
        </w:rPr>
        <w:t>以达到缓解为治疗目标时，可以结合前期研究的结果提出“治疗失败”的定义，即当治疗达到一定时长仍未实现治疗目标时，继续治疗获得有价值的临床获益可能性很小，则应该停止治疗。此时，“治疗失败”也</w:t>
      </w:r>
      <w:r w:rsidR="003B361F" w:rsidRPr="00E421F6">
        <w:rPr>
          <w:rFonts w:ascii="仿宋_GB2312" w:eastAsia="仿宋_GB2312" w:hAnsi="Times New Roman" w:cs="Times New Roman" w:hint="eastAsia"/>
          <w:color w:val="000000"/>
          <w:kern w:val="0"/>
          <w:sz w:val="32"/>
          <w:szCs w:val="32"/>
        </w:rPr>
        <w:t>构成</w:t>
      </w:r>
      <w:r w:rsidR="002E3C64" w:rsidRPr="00E421F6">
        <w:rPr>
          <w:rFonts w:ascii="仿宋_GB2312" w:eastAsia="仿宋_GB2312" w:hAnsi="Times New Roman" w:cs="Times New Roman" w:hint="eastAsia"/>
          <w:color w:val="000000"/>
          <w:kern w:val="0"/>
          <w:sz w:val="32"/>
          <w:szCs w:val="32"/>
        </w:rPr>
        <w:t>EFS事件。</w:t>
      </w:r>
    </w:p>
    <w:p w:rsidR="00A17A8C" w:rsidRPr="00E421F6" w:rsidRDefault="00A17A8C"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缓解持续时间（Duration of remission，DOR）</w:t>
      </w:r>
      <w:r w:rsidRPr="00E421F6">
        <w:rPr>
          <w:rFonts w:ascii="仿宋_GB2312" w:eastAsia="仿宋_GB2312" w:hAnsi="Times New Roman" w:cs="Times New Roman" w:hint="eastAsia"/>
          <w:color w:val="000000"/>
          <w:kern w:val="0"/>
          <w:sz w:val="32"/>
          <w:szCs w:val="32"/>
        </w:rPr>
        <w:t>：定义为从确定缓解之日（完全缓解者为完成骨髓确认的时间）</w:t>
      </w:r>
      <w:proofErr w:type="gramStart"/>
      <w:r w:rsidRPr="00E421F6">
        <w:rPr>
          <w:rFonts w:ascii="仿宋_GB2312" w:eastAsia="仿宋_GB2312" w:hAnsi="Times New Roman" w:cs="Times New Roman" w:hint="eastAsia"/>
          <w:color w:val="000000"/>
          <w:kern w:val="0"/>
          <w:sz w:val="32"/>
          <w:szCs w:val="32"/>
        </w:rPr>
        <w:t>至疾病</w:t>
      </w:r>
      <w:proofErr w:type="gramEnd"/>
      <w:r w:rsidRPr="00E421F6">
        <w:rPr>
          <w:rFonts w:ascii="仿宋_GB2312" w:eastAsia="仿宋_GB2312" w:hAnsi="Times New Roman" w:cs="Times New Roman" w:hint="eastAsia"/>
          <w:color w:val="000000"/>
          <w:kern w:val="0"/>
          <w:sz w:val="32"/>
          <w:szCs w:val="32"/>
        </w:rPr>
        <w:t>进展的首个症状或体征变化出现之日、或开始新的抗肿瘤治疗之日、或死亡之日（以最早发生的事件为准）</w:t>
      </w:r>
      <w:r w:rsidR="00DE0F04" w:rsidRPr="00E421F6">
        <w:rPr>
          <w:rFonts w:ascii="仿宋_GB2312" w:eastAsia="仿宋_GB2312" w:hAnsi="Times New Roman" w:cs="Times New Roman" w:hint="eastAsia"/>
          <w:color w:val="000000"/>
          <w:kern w:val="0"/>
          <w:sz w:val="32"/>
          <w:szCs w:val="32"/>
        </w:rPr>
        <w:t>的时间。在计算DOR时，如果最初评价为</w:t>
      </w:r>
      <w:proofErr w:type="spellStart"/>
      <w:r w:rsidR="00DE0F04" w:rsidRPr="00E421F6">
        <w:rPr>
          <w:rFonts w:ascii="仿宋_GB2312" w:eastAsia="仿宋_GB2312" w:hAnsi="Times New Roman" w:cs="Times New Roman" w:hint="eastAsia"/>
          <w:color w:val="000000"/>
          <w:kern w:val="0"/>
          <w:sz w:val="32"/>
          <w:szCs w:val="32"/>
        </w:rPr>
        <w:t>CRi</w:t>
      </w:r>
      <w:proofErr w:type="spellEnd"/>
      <w:r w:rsidR="00DE0F04" w:rsidRPr="00E421F6">
        <w:rPr>
          <w:rFonts w:ascii="仿宋_GB2312" w:eastAsia="仿宋_GB2312" w:hAnsi="Times New Roman" w:cs="Times New Roman" w:hint="eastAsia"/>
          <w:color w:val="000000"/>
          <w:kern w:val="0"/>
          <w:sz w:val="32"/>
          <w:szCs w:val="32"/>
        </w:rPr>
        <w:t>或PR-L者的后续转为CR或PR，可以评价为</w:t>
      </w:r>
      <w:proofErr w:type="spellStart"/>
      <w:r w:rsidR="00DE0F04" w:rsidRPr="00E421F6">
        <w:rPr>
          <w:rFonts w:ascii="仿宋_GB2312" w:eastAsia="仿宋_GB2312" w:hAnsi="Times New Roman" w:cs="Times New Roman" w:hint="eastAsia"/>
          <w:color w:val="000000"/>
          <w:kern w:val="0"/>
          <w:sz w:val="32"/>
          <w:szCs w:val="32"/>
        </w:rPr>
        <w:t>CRi</w:t>
      </w:r>
      <w:proofErr w:type="spellEnd"/>
      <w:r w:rsidR="00DE0F04" w:rsidRPr="00E421F6">
        <w:rPr>
          <w:rFonts w:ascii="仿宋_GB2312" w:eastAsia="仿宋_GB2312" w:hAnsi="Times New Roman" w:cs="Times New Roman" w:hint="eastAsia"/>
          <w:color w:val="000000"/>
          <w:kern w:val="0"/>
          <w:sz w:val="32"/>
          <w:szCs w:val="32"/>
        </w:rPr>
        <w:t>或PR-L的时间计算DOR；否则仅</w:t>
      </w:r>
      <w:r w:rsidR="00DE0F04" w:rsidRPr="00E421F6">
        <w:rPr>
          <w:rFonts w:ascii="仿宋_GB2312" w:eastAsia="仿宋_GB2312" w:hAnsi="Times New Roman" w:cs="Times New Roman" w:hint="eastAsia"/>
          <w:color w:val="000000"/>
          <w:kern w:val="0"/>
          <w:sz w:val="32"/>
          <w:szCs w:val="32"/>
        </w:rPr>
        <w:lastRenderedPageBreak/>
        <w:t>能在敏感性分析时计入CRR或ORR并计算</w:t>
      </w:r>
      <w:r w:rsidR="00AB6DA1" w:rsidRPr="00E421F6">
        <w:rPr>
          <w:rFonts w:ascii="仿宋_GB2312" w:eastAsia="仿宋_GB2312" w:hAnsi="Times New Roman" w:cs="Times New Roman" w:hint="eastAsia"/>
          <w:color w:val="000000"/>
          <w:kern w:val="0"/>
          <w:sz w:val="32"/>
          <w:szCs w:val="32"/>
        </w:rPr>
        <w:t>DOCR或</w:t>
      </w:r>
      <w:r w:rsidR="00DE0F04" w:rsidRPr="00E421F6">
        <w:rPr>
          <w:rFonts w:ascii="仿宋_GB2312" w:eastAsia="仿宋_GB2312" w:hAnsi="Times New Roman" w:cs="Times New Roman" w:hint="eastAsia"/>
          <w:color w:val="000000"/>
          <w:kern w:val="0"/>
          <w:sz w:val="32"/>
          <w:szCs w:val="32"/>
        </w:rPr>
        <w:t>DOR。</w:t>
      </w:r>
    </w:p>
    <w:p w:rsidR="00E906E3" w:rsidRPr="00E421F6" w:rsidRDefault="00E906E3"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总生存期（Overall survival，OS）</w:t>
      </w:r>
      <w:r w:rsidRPr="00E421F6">
        <w:rPr>
          <w:rFonts w:ascii="仿宋_GB2312" w:eastAsia="仿宋_GB2312" w:hAnsi="Times New Roman" w:cs="Times New Roman" w:hint="eastAsia"/>
          <w:color w:val="000000"/>
          <w:kern w:val="0"/>
          <w:sz w:val="32"/>
          <w:szCs w:val="32"/>
        </w:rPr>
        <w:t>：定义为</w:t>
      </w:r>
      <w:r w:rsidR="002A3587" w:rsidRPr="00E421F6">
        <w:rPr>
          <w:rFonts w:ascii="仿宋_GB2312" w:eastAsia="仿宋_GB2312" w:hAnsi="Times New Roman" w:cs="Times New Roman" w:hint="eastAsia"/>
          <w:color w:val="000000"/>
          <w:kern w:val="0"/>
          <w:sz w:val="32"/>
          <w:szCs w:val="32"/>
        </w:rPr>
        <w:t>从首次接受治疗之日（随机对照研究中为随机之日）至死亡之日的时间。在CLL研究中，建议将死亡原因区分为CLL相关或非CLL相关，试验药治疗期间的非CLL相关死亡，应进一步分析是否与治疗毒性相关，对于高龄患者则需要考虑预期寿命对OS的影响。</w:t>
      </w:r>
    </w:p>
    <w:p w:rsidR="0018442A" w:rsidRPr="00E421F6" w:rsidRDefault="0018442A"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创新机制</w:t>
      </w:r>
      <w:r w:rsidR="004551EB" w:rsidRPr="00E421F6">
        <w:rPr>
          <w:rFonts w:ascii="仿宋_GB2312" w:eastAsia="仿宋_GB2312" w:hAnsi="Times New Roman" w:cs="Times New Roman" w:hint="eastAsia"/>
          <w:color w:val="000000"/>
          <w:kern w:val="0"/>
          <w:sz w:val="32"/>
          <w:szCs w:val="32"/>
        </w:rPr>
        <w:t>-</w:t>
      </w:r>
      <w:r w:rsidRPr="00E421F6">
        <w:rPr>
          <w:rFonts w:ascii="仿宋_GB2312" w:eastAsia="仿宋_GB2312" w:hAnsi="Times New Roman" w:cs="Times New Roman" w:hint="eastAsia"/>
          <w:color w:val="000000"/>
          <w:kern w:val="0"/>
          <w:sz w:val="32"/>
          <w:szCs w:val="32"/>
        </w:rPr>
        <w:t>靶点药物应该在前期探索性研究中积极分析治疗后症状改善、缓解率、PFS和OS之间的相关性，作为关键性注册研究中替代终点的选择依据。对前期探索性研究中纳入的受试者进行长期持续的高质量随访，随访数据可以作为关键性注册研究的补充和支持。</w:t>
      </w:r>
    </w:p>
    <w:p w:rsidR="00235172" w:rsidRPr="00E421F6" w:rsidRDefault="00E421F6" w:rsidP="00235172">
      <w:pPr>
        <w:pStyle w:val="2"/>
        <w:spacing w:before="0" w:after="0" w:line="360" w:lineRule="auto"/>
        <w:rPr>
          <w:rFonts w:ascii="楷体_GB2312" w:eastAsia="楷体_GB2312"/>
          <w:b w:val="0"/>
          <w:szCs w:val="32"/>
        </w:rPr>
      </w:pPr>
      <w:bookmarkStart w:id="17" w:name="_Toc104979991"/>
      <w:r>
        <w:rPr>
          <w:rFonts w:ascii="楷体_GB2312" w:eastAsia="楷体_GB2312" w:hint="eastAsia"/>
          <w:b w:val="0"/>
          <w:szCs w:val="32"/>
        </w:rPr>
        <w:t>（三）</w:t>
      </w:r>
      <w:r w:rsidR="008B41D8" w:rsidRPr="00E421F6">
        <w:rPr>
          <w:rFonts w:ascii="楷体_GB2312" w:eastAsia="楷体_GB2312" w:hint="eastAsia"/>
          <w:b w:val="0"/>
          <w:szCs w:val="32"/>
        </w:rPr>
        <w:t>生活质量评价及</w:t>
      </w:r>
      <w:r w:rsidR="00235172" w:rsidRPr="00E421F6">
        <w:rPr>
          <w:rFonts w:ascii="楷体_GB2312" w:eastAsia="楷体_GB2312" w:hint="eastAsia"/>
          <w:b w:val="0"/>
          <w:szCs w:val="32"/>
        </w:rPr>
        <w:t>患者报告结局</w:t>
      </w:r>
      <w:bookmarkEnd w:id="17"/>
    </w:p>
    <w:p w:rsidR="000A2926" w:rsidRPr="00E421F6" w:rsidRDefault="00D57CA3"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正如前文所述，考虑到CLL患者中相当一部分为高龄患者，</w:t>
      </w:r>
      <w:r w:rsidR="00A17A8C" w:rsidRPr="00E421F6">
        <w:rPr>
          <w:rFonts w:ascii="仿宋_GB2312" w:eastAsia="仿宋_GB2312" w:hAnsi="Times New Roman" w:cs="Times New Roman" w:hint="eastAsia"/>
          <w:color w:val="000000"/>
          <w:kern w:val="0"/>
          <w:sz w:val="32"/>
          <w:szCs w:val="32"/>
        </w:rPr>
        <w:t>需要在追求深度缓解和</w:t>
      </w:r>
      <w:r w:rsidR="0003369D" w:rsidRPr="00E421F6">
        <w:rPr>
          <w:rFonts w:ascii="仿宋_GB2312" w:eastAsia="仿宋_GB2312" w:hAnsi="Times New Roman" w:cs="Times New Roman" w:hint="eastAsia"/>
          <w:color w:val="000000"/>
          <w:kern w:val="0"/>
          <w:sz w:val="32"/>
          <w:szCs w:val="32"/>
        </w:rPr>
        <w:t>降低治疗毒性之间平衡取舍，</w:t>
      </w:r>
      <w:r w:rsidR="00091696" w:rsidRPr="00E421F6">
        <w:rPr>
          <w:rFonts w:ascii="仿宋_GB2312" w:eastAsia="仿宋_GB2312" w:hAnsi="Times New Roman" w:cs="Times New Roman" w:hint="eastAsia"/>
          <w:color w:val="000000"/>
          <w:kern w:val="0"/>
          <w:sz w:val="32"/>
          <w:szCs w:val="32"/>
        </w:rPr>
        <w:t>保持</w:t>
      </w:r>
      <w:r w:rsidRPr="00E421F6">
        <w:rPr>
          <w:rFonts w:ascii="仿宋_GB2312" w:eastAsia="仿宋_GB2312" w:hAnsi="Times New Roman" w:cs="Times New Roman" w:hint="eastAsia"/>
          <w:color w:val="000000"/>
          <w:kern w:val="0"/>
          <w:sz w:val="32"/>
          <w:szCs w:val="32"/>
        </w:rPr>
        <w:t>或改善其</w:t>
      </w:r>
      <w:r w:rsidR="004F2830" w:rsidRPr="00E421F6">
        <w:rPr>
          <w:rFonts w:ascii="仿宋_GB2312" w:eastAsia="仿宋_GB2312" w:hAnsi="Times New Roman" w:cs="Times New Roman" w:hint="eastAsia"/>
          <w:color w:val="000000"/>
          <w:kern w:val="0"/>
          <w:sz w:val="32"/>
          <w:szCs w:val="32"/>
        </w:rPr>
        <w:t>治疗期间的</w:t>
      </w:r>
      <w:r w:rsidRPr="00E421F6">
        <w:rPr>
          <w:rFonts w:ascii="仿宋_GB2312" w:eastAsia="仿宋_GB2312" w:hAnsi="Times New Roman" w:cs="Times New Roman" w:hint="eastAsia"/>
          <w:color w:val="000000"/>
          <w:kern w:val="0"/>
          <w:sz w:val="32"/>
          <w:szCs w:val="32"/>
        </w:rPr>
        <w:t>生活质量</w:t>
      </w:r>
      <w:r w:rsidR="003F145E" w:rsidRPr="00E421F6">
        <w:rPr>
          <w:rFonts w:ascii="仿宋_GB2312" w:eastAsia="仿宋_GB2312" w:hAnsi="Times New Roman" w:cs="Times New Roman" w:hint="eastAsia"/>
          <w:color w:val="000000"/>
          <w:kern w:val="0"/>
          <w:sz w:val="32"/>
          <w:szCs w:val="32"/>
        </w:rPr>
        <w:t>（Quality of life，QOL）</w:t>
      </w:r>
      <w:r w:rsidRPr="00E421F6">
        <w:rPr>
          <w:rFonts w:ascii="仿宋_GB2312" w:eastAsia="仿宋_GB2312" w:hAnsi="Times New Roman" w:cs="Times New Roman" w:hint="eastAsia"/>
          <w:color w:val="000000"/>
          <w:kern w:val="0"/>
          <w:sz w:val="32"/>
          <w:szCs w:val="32"/>
        </w:rPr>
        <w:t>可能与延长其生存时间同等重要</w:t>
      </w:r>
      <w:r w:rsidR="00A10494" w:rsidRPr="00E421F6">
        <w:rPr>
          <w:rFonts w:ascii="仿宋_GB2312" w:eastAsia="仿宋_GB2312" w:hAnsi="Times New Roman" w:cs="Times New Roman" w:hint="eastAsia"/>
          <w:color w:val="000000"/>
          <w:kern w:val="0"/>
          <w:sz w:val="32"/>
          <w:szCs w:val="32"/>
        </w:rPr>
        <w:t>，</w:t>
      </w:r>
      <w:r w:rsidR="00066B56" w:rsidRPr="00E421F6">
        <w:rPr>
          <w:rFonts w:ascii="仿宋_GB2312" w:eastAsia="仿宋_GB2312" w:hAnsi="Times New Roman" w:cs="Times New Roman" w:hint="eastAsia"/>
          <w:color w:val="000000"/>
          <w:kern w:val="0"/>
          <w:sz w:val="32"/>
          <w:szCs w:val="32"/>
        </w:rPr>
        <w:t>并且</w:t>
      </w:r>
      <w:r w:rsidR="00E92E6C" w:rsidRPr="00E421F6">
        <w:rPr>
          <w:rFonts w:ascii="仿宋_GB2312" w:eastAsia="仿宋_GB2312" w:hAnsi="Times New Roman" w:cs="Times New Roman" w:hint="eastAsia"/>
          <w:color w:val="000000"/>
          <w:kern w:val="0"/>
          <w:sz w:val="32"/>
          <w:szCs w:val="32"/>
        </w:rPr>
        <w:t>有研究表明</w:t>
      </w:r>
      <w:r w:rsidR="00B71E47" w:rsidRPr="00E421F6">
        <w:rPr>
          <w:rFonts w:ascii="仿宋_GB2312" w:eastAsia="仿宋_GB2312" w:hAnsi="Times New Roman" w:cs="Times New Roman" w:hint="eastAsia"/>
          <w:color w:val="000000"/>
          <w:kern w:val="0"/>
          <w:sz w:val="32"/>
          <w:szCs w:val="32"/>
        </w:rPr>
        <w:t>QOL</w:t>
      </w:r>
      <w:r w:rsidR="00E92E6C" w:rsidRPr="00E421F6">
        <w:rPr>
          <w:rFonts w:ascii="仿宋_GB2312" w:eastAsia="仿宋_GB2312" w:hAnsi="Times New Roman" w:cs="Times New Roman" w:hint="eastAsia"/>
          <w:color w:val="000000"/>
          <w:kern w:val="0"/>
          <w:sz w:val="32"/>
          <w:szCs w:val="32"/>
        </w:rPr>
        <w:t>对CLL患者的预后</w:t>
      </w:r>
      <w:r w:rsidR="00066B56" w:rsidRPr="00E421F6">
        <w:rPr>
          <w:rFonts w:ascii="仿宋_GB2312" w:eastAsia="仿宋_GB2312" w:hAnsi="Times New Roman" w:cs="Times New Roman" w:hint="eastAsia"/>
          <w:color w:val="000000"/>
          <w:kern w:val="0"/>
          <w:sz w:val="32"/>
          <w:szCs w:val="32"/>
        </w:rPr>
        <w:t>判断</w:t>
      </w:r>
      <w:r w:rsidR="00E92E6C" w:rsidRPr="00E421F6">
        <w:rPr>
          <w:rFonts w:ascii="仿宋_GB2312" w:eastAsia="仿宋_GB2312" w:hAnsi="Times New Roman" w:cs="Times New Roman" w:hint="eastAsia"/>
          <w:color w:val="000000"/>
          <w:kern w:val="0"/>
          <w:sz w:val="32"/>
          <w:szCs w:val="32"/>
        </w:rPr>
        <w:t>具有价值</w:t>
      </w:r>
      <w:r w:rsidR="00E92E6C" w:rsidRPr="00EC073B">
        <w:rPr>
          <w:rFonts w:ascii="仿宋_GB2312" w:eastAsia="仿宋_GB2312" w:hAnsi="Times New Roman" w:cs="Times New Roman" w:hint="eastAsia"/>
          <w:color w:val="000000"/>
          <w:kern w:val="0"/>
          <w:sz w:val="32"/>
          <w:szCs w:val="32"/>
          <w:vertAlign w:val="superscript"/>
        </w:rPr>
        <w:t>[1]</w:t>
      </w:r>
      <w:r w:rsidRPr="00E421F6">
        <w:rPr>
          <w:rFonts w:ascii="仿宋_GB2312" w:eastAsia="仿宋_GB2312" w:hAnsi="Times New Roman" w:cs="Times New Roman" w:hint="eastAsia"/>
          <w:color w:val="000000"/>
          <w:kern w:val="0"/>
          <w:sz w:val="32"/>
          <w:szCs w:val="32"/>
        </w:rPr>
        <w:t>。</w:t>
      </w:r>
      <w:r w:rsidR="00911EF7" w:rsidRPr="00E421F6">
        <w:rPr>
          <w:rFonts w:ascii="仿宋_GB2312" w:eastAsia="仿宋_GB2312" w:hAnsi="Times New Roman" w:cs="Times New Roman" w:hint="eastAsia"/>
          <w:color w:val="000000"/>
          <w:kern w:val="0"/>
          <w:sz w:val="32"/>
          <w:szCs w:val="32"/>
        </w:rPr>
        <w:t>因此，在CLL患者中进行新药临床试验，应该</w:t>
      </w:r>
      <w:r w:rsidR="00DB5BA0" w:rsidRPr="00E421F6">
        <w:rPr>
          <w:rFonts w:ascii="仿宋_GB2312" w:eastAsia="仿宋_GB2312" w:hAnsi="Times New Roman" w:cs="Times New Roman" w:hint="eastAsia"/>
          <w:color w:val="000000"/>
          <w:kern w:val="0"/>
          <w:sz w:val="32"/>
          <w:szCs w:val="32"/>
        </w:rPr>
        <w:t>常规进行</w:t>
      </w:r>
      <w:r w:rsidR="00B71E47" w:rsidRPr="00E421F6">
        <w:rPr>
          <w:rFonts w:ascii="仿宋_GB2312" w:eastAsia="仿宋_GB2312" w:hAnsi="Times New Roman" w:cs="Times New Roman" w:hint="eastAsia"/>
          <w:color w:val="000000"/>
          <w:kern w:val="0"/>
          <w:sz w:val="32"/>
          <w:szCs w:val="32"/>
        </w:rPr>
        <w:t>QOL评估</w:t>
      </w:r>
      <w:r w:rsidR="00DB5BA0" w:rsidRPr="00E421F6">
        <w:rPr>
          <w:rFonts w:ascii="仿宋_GB2312" w:eastAsia="仿宋_GB2312" w:hAnsi="Times New Roman" w:cs="Times New Roman" w:hint="eastAsia"/>
          <w:color w:val="000000"/>
          <w:kern w:val="0"/>
          <w:sz w:val="32"/>
          <w:szCs w:val="32"/>
        </w:rPr>
        <w:t>或使用患者报告结局量表获取患者的体验、见解或需求数据</w:t>
      </w:r>
      <w:r w:rsidR="00911EF7" w:rsidRPr="00E421F6">
        <w:rPr>
          <w:rFonts w:ascii="仿宋_GB2312" w:eastAsia="仿宋_GB2312" w:hAnsi="Times New Roman" w:cs="Times New Roman" w:hint="eastAsia"/>
          <w:color w:val="000000"/>
          <w:kern w:val="0"/>
          <w:sz w:val="32"/>
          <w:szCs w:val="32"/>
        </w:rPr>
        <w:t>，甚至在决定剂量时考虑不同剂量对</w:t>
      </w:r>
      <w:r w:rsidR="00B71E47" w:rsidRPr="00E421F6">
        <w:rPr>
          <w:rFonts w:ascii="仿宋_GB2312" w:eastAsia="仿宋_GB2312" w:hAnsi="Times New Roman" w:cs="Times New Roman" w:hint="eastAsia"/>
          <w:color w:val="000000"/>
          <w:kern w:val="0"/>
          <w:sz w:val="32"/>
          <w:szCs w:val="32"/>
        </w:rPr>
        <w:t>QOL</w:t>
      </w:r>
      <w:r w:rsidR="00911EF7" w:rsidRPr="00E421F6">
        <w:rPr>
          <w:rFonts w:ascii="仿宋_GB2312" w:eastAsia="仿宋_GB2312" w:hAnsi="Times New Roman" w:cs="Times New Roman" w:hint="eastAsia"/>
          <w:color w:val="000000"/>
          <w:kern w:val="0"/>
          <w:sz w:val="32"/>
          <w:szCs w:val="32"/>
        </w:rPr>
        <w:t>的影响。</w:t>
      </w:r>
      <w:r w:rsidR="00B71E47" w:rsidRPr="00E421F6">
        <w:rPr>
          <w:rFonts w:ascii="仿宋_GB2312" w:eastAsia="仿宋_GB2312" w:hAnsi="Times New Roman" w:cs="Times New Roman" w:hint="eastAsia"/>
          <w:color w:val="000000"/>
          <w:kern w:val="0"/>
          <w:sz w:val="32"/>
          <w:szCs w:val="32"/>
        </w:rPr>
        <w:t>QOL</w:t>
      </w:r>
      <w:r w:rsidR="003F145E" w:rsidRPr="00E421F6">
        <w:rPr>
          <w:rFonts w:ascii="仿宋_GB2312" w:eastAsia="仿宋_GB2312" w:hAnsi="Times New Roman" w:cs="Times New Roman" w:hint="eastAsia"/>
          <w:color w:val="000000"/>
          <w:kern w:val="0"/>
          <w:sz w:val="32"/>
          <w:szCs w:val="32"/>
        </w:rPr>
        <w:t>的评价可以采用成熟经验证的量表，例如EORTC QLQ-C30及其针对老年患者的增补QLQ-</w:t>
      </w:r>
      <w:r w:rsidR="003F145E" w:rsidRPr="00E421F6">
        <w:rPr>
          <w:rFonts w:ascii="仿宋_GB2312" w:eastAsia="仿宋_GB2312" w:hAnsi="Times New Roman" w:cs="Times New Roman" w:hint="eastAsia"/>
          <w:color w:val="000000"/>
          <w:kern w:val="0"/>
          <w:sz w:val="32"/>
          <w:szCs w:val="32"/>
        </w:rPr>
        <w:lastRenderedPageBreak/>
        <w:t>ELD14是临床试验常用的</w:t>
      </w:r>
      <w:r w:rsidR="00B71E47" w:rsidRPr="00E421F6">
        <w:rPr>
          <w:rFonts w:ascii="仿宋_GB2312" w:eastAsia="仿宋_GB2312" w:hAnsi="Times New Roman" w:cs="Times New Roman" w:hint="eastAsia"/>
          <w:color w:val="000000"/>
          <w:kern w:val="0"/>
          <w:sz w:val="32"/>
          <w:szCs w:val="32"/>
        </w:rPr>
        <w:t>QOL量表；也可以参照相关指导原则</w:t>
      </w:r>
      <w:r w:rsidR="00B71E47" w:rsidRPr="00EC073B">
        <w:rPr>
          <w:rFonts w:ascii="仿宋_GB2312" w:eastAsia="仿宋_GB2312" w:hAnsi="Times New Roman" w:cs="Times New Roman" w:hint="eastAsia"/>
          <w:color w:val="000000"/>
          <w:kern w:val="0"/>
          <w:sz w:val="32"/>
          <w:szCs w:val="32"/>
          <w:vertAlign w:val="superscript"/>
        </w:rPr>
        <w:t>[</w:t>
      </w:r>
      <w:r w:rsidR="008277ED" w:rsidRPr="00EC073B">
        <w:rPr>
          <w:rFonts w:ascii="仿宋_GB2312" w:eastAsia="仿宋_GB2312" w:hAnsi="Times New Roman" w:cs="Times New Roman" w:hint="eastAsia"/>
          <w:color w:val="000000"/>
          <w:kern w:val="0"/>
          <w:sz w:val="32"/>
          <w:szCs w:val="32"/>
          <w:vertAlign w:val="superscript"/>
        </w:rPr>
        <w:t>9</w:t>
      </w:r>
      <w:r w:rsidR="00B71E47" w:rsidRPr="00EC073B">
        <w:rPr>
          <w:rFonts w:ascii="仿宋_GB2312" w:eastAsia="仿宋_GB2312" w:hAnsi="Times New Roman" w:cs="Times New Roman" w:hint="eastAsia"/>
          <w:color w:val="000000"/>
          <w:kern w:val="0"/>
          <w:sz w:val="32"/>
          <w:szCs w:val="32"/>
          <w:vertAlign w:val="superscript"/>
        </w:rPr>
        <w:t>]</w:t>
      </w:r>
      <w:r w:rsidR="00B71E47" w:rsidRPr="00E421F6">
        <w:rPr>
          <w:rFonts w:ascii="仿宋_GB2312" w:eastAsia="仿宋_GB2312" w:hAnsi="Times New Roman" w:cs="Times New Roman" w:hint="eastAsia"/>
          <w:color w:val="000000"/>
          <w:kern w:val="0"/>
          <w:sz w:val="32"/>
          <w:szCs w:val="32"/>
        </w:rPr>
        <w:t>研发适合特定药物或人群的PRO测量量表。</w:t>
      </w:r>
      <w:r w:rsidR="00473F88" w:rsidRPr="00E421F6">
        <w:rPr>
          <w:rFonts w:ascii="仿宋_GB2312" w:eastAsia="仿宋_GB2312" w:hAnsi="Times New Roman" w:cs="Times New Roman" w:hint="eastAsia"/>
          <w:color w:val="000000"/>
          <w:kern w:val="0"/>
          <w:sz w:val="32"/>
          <w:szCs w:val="32"/>
        </w:rPr>
        <w:t>鼓励</w:t>
      </w:r>
      <w:r w:rsidR="005F5FEE" w:rsidRPr="00E421F6">
        <w:rPr>
          <w:rFonts w:ascii="仿宋_GB2312" w:eastAsia="仿宋_GB2312" w:hAnsi="Times New Roman" w:cs="Times New Roman" w:hint="eastAsia"/>
          <w:color w:val="000000"/>
          <w:kern w:val="0"/>
          <w:sz w:val="32"/>
          <w:szCs w:val="32"/>
        </w:rPr>
        <w:t>在</w:t>
      </w:r>
      <w:r w:rsidR="00473F88" w:rsidRPr="00E421F6">
        <w:rPr>
          <w:rFonts w:ascii="仿宋_GB2312" w:eastAsia="仿宋_GB2312" w:hAnsi="Times New Roman" w:cs="Times New Roman" w:hint="eastAsia"/>
          <w:color w:val="000000"/>
          <w:kern w:val="0"/>
          <w:sz w:val="32"/>
          <w:szCs w:val="32"/>
        </w:rPr>
        <w:t>临床试验中对生活质量校正的无症状或毒性生存时间（</w:t>
      </w:r>
      <w:r w:rsidR="005B17E1" w:rsidRPr="00E421F6">
        <w:rPr>
          <w:rFonts w:ascii="仿宋_GB2312" w:eastAsia="仿宋_GB2312" w:hAnsi="Times New Roman" w:cs="Times New Roman"/>
          <w:color w:val="000000"/>
          <w:kern w:val="0"/>
          <w:sz w:val="32"/>
          <w:szCs w:val="32"/>
        </w:rPr>
        <w:t>quality</w:t>
      </w:r>
      <w:r w:rsidR="00473F88" w:rsidRPr="00E421F6">
        <w:rPr>
          <w:rFonts w:ascii="仿宋_GB2312" w:eastAsia="仿宋_GB2312" w:hAnsi="Times New Roman" w:cs="Times New Roman" w:hint="eastAsia"/>
          <w:color w:val="000000"/>
          <w:kern w:val="0"/>
          <w:sz w:val="32"/>
          <w:szCs w:val="32"/>
        </w:rPr>
        <w:t>-adjusted time without symptoms of disease or toxicity，Q-TWIST）等质量和生存</w:t>
      </w:r>
      <w:r w:rsidR="009110A7" w:rsidRPr="00E421F6">
        <w:rPr>
          <w:rFonts w:ascii="仿宋_GB2312" w:eastAsia="仿宋_GB2312" w:hAnsi="Times New Roman" w:cs="Times New Roman" w:hint="eastAsia"/>
          <w:color w:val="000000"/>
          <w:kern w:val="0"/>
          <w:sz w:val="32"/>
          <w:szCs w:val="32"/>
        </w:rPr>
        <w:t>综合</w:t>
      </w:r>
      <w:r w:rsidR="00473F88" w:rsidRPr="00E421F6">
        <w:rPr>
          <w:rFonts w:ascii="仿宋_GB2312" w:eastAsia="仿宋_GB2312" w:hAnsi="Times New Roman" w:cs="Times New Roman" w:hint="eastAsia"/>
          <w:color w:val="000000"/>
          <w:kern w:val="0"/>
          <w:sz w:val="32"/>
          <w:szCs w:val="32"/>
        </w:rPr>
        <w:t>指标进行分析，作为治疗后获益和风险</w:t>
      </w:r>
      <w:r w:rsidR="005F5FEE" w:rsidRPr="00E421F6">
        <w:rPr>
          <w:rFonts w:ascii="仿宋_GB2312" w:eastAsia="仿宋_GB2312" w:hAnsi="Times New Roman" w:cs="Times New Roman" w:hint="eastAsia"/>
          <w:color w:val="000000"/>
          <w:kern w:val="0"/>
          <w:sz w:val="32"/>
          <w:szCs w:val="32"/>
        </w:rPr>
        <w:t>评价</w:t>
      </w:r>
      <w:r w:rsidR="00473F88" w:rsidRPr="00E421F6">
        <w:rPr>
          <w:rFonts w:ascii="仿宋_GB2312" w:eastAsia="仿宋_GB2312" w:hAnsi="Times New Roman" w:cs="Times New Roman" w:hint="eastAsia"/>
          <w:color w:val="000000"/>
          <w:kern w:val="0"/>
          <w:sz w:val="32"/>
          <w:szCs w:val="32"/>
        </w:rPr>
        <w:t>的支持性依据。</w:t>
      </w:r>
    </w:p>
    <w:p w:rsidR="005F5FEE" w:rsidRPr="00AB7583" w:rsidRDefault="003B771A" w:rsidP="00AB7583">
      <w:pPr>
        <w:pStyle w:val="1"/>
        <w:numPr>
          <w:ilvl w:val="255"/>
          <w:numId w:val="0"/>
        </w:numPr>
        <w:spacing w:before="200" w:after="200" w:line="360" w:lineRule="auto"/>
        <w:rPr>
          <w:rFonts w:ascii="Times New Roman" w:eastAsia="黑体" w:hAnsi="Times New Roman" w:cs="Times New Roman"/>
          <w:b w:val="0"/>
          <w:color w:val="000000"/>
          <w:kern w:val="0"/>
          <w:sz w:val="32"/>
          <w:szCs w:val="32"/>
        </w:rPr>
      </w:pPr>
      <w:bookmarkStart w:id="18" w:name="_Toc104979992"/>
      <w:r w:rsidRPr="00AB7583">
        <w:rPr>
          <w:rFonts w:ascii="Times New Roman" w:eastAsia="黑体" w:hAnsi="Times New Roman" w:cs="Times New Roman" w:hint="eastAsia"/>
          <w:b w:val="0"/>
          <w:color w:val="000000"/>
          <w:kern w:val="0"/>
          <w:sz w:val="32"/>
          <w:szCs w:val="32"/>
        </w:rPr>
        <w:t>五</w:t>
      </w:r>
      <w:r w:rsidR="00CC0DAB" w:rsidRPr="00AB7583">
        <w:rPr>
          <w:rFonts w:ascii="Times New Roman" w:eastAsia="黑体" w:hAnsi="Times New Roman" w:cs="Times New Roman" w:hint="eastAsia"/>
          <w:b w:val="0"/>
          <w:color w:val="000000"/>
          <w:kern w:val="0"/>
          <w:sz w:val="32"/>
          <w:szCs w:val="32"/>
        </w:rPr>
        <w:t>、</w:t>
      </w:r>
      <w:r w:rsidR="00A413A4" w:rsidRPr="00AB7583">
        <w:rPr>
          <w:rFonts w:ascii="Times New Roman" w:eastAsia="黑体" w:hAnsi="Times New Roman" w:cs="Times New Roman" w:hint="eastAsia"/>
          <w:b w:val="0"/>
          <w:color w:val="000000"/>
          <w:kern w:val="0"/>
          <w:sz w:val="32"/>
          <w:szCs w:val="32"/>
        </w:rPr>
        <w:t>关键性注册</w:t>
      </w:r>
      <w:r w:rsidR="00CC0DAB" w:rsidRPr="00AB7583">
        <w:rPr>
          <w:rFonts w:ascii="Times New Roman" w:eastAsia="黑体" w:hAnsi="Times New Roman" w:cs="Times New Roman" w:hint="eastAsia"/>
          <w:b w:val="0"/>
          <w:color w:val="000000"/>
          <w:kern w:val="0"/>
          <w:sz w:val="32"/>
          <w:szCs w:val="32"/>
        </w:rPr>
        <w:t>研究</w:t>
      </w:r>
      <w:bookmarkEnd w:id="18"/>
    </w:p>
    <w:p w:rsidR="009019D9" w:rsidRPr="00E421F6" w:rsidRDefault="009019D9"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本章的内容主要针对关键性注册研究。探索性研究应该与关键性注册研究有良好的延续性，且其研究结果互为支持，因此在设计探索性研究时也可以参考本章提出的定义和要求。</w:t>
      </w:r>
    </w:p>
    <w:p w:rsidR="009019D9" w:rsidRPr="00E421F6" w:rsidRDefault="00E421F6" w:rsidP="000A6F50">
      <w:pPr>
        <w:pStyle w:val="2"/>
        <w:spacing w:before="0" w:after="0" w:line="360" w:lineRule="auto"/>
        <w:rPr>
          <w:rFonts w:ascii="楷体_GB2312" w:eastAsia="楷体_GB2312"/>
          <w:b w:val="0"/>
          <w:szCs w:val="32"/>
        </w:rPr>
      </w:pPr>
      <w:bookmarkStart w:id="19" w:name="_Toc104979993"/>
      <w:r>
        <w:rPr>
          <w:rFonts w:ascii="楷体_GB2312" w:eastAsia="楷体_GB2312" w:hint="eastAsia"/>
          <w:b w:val="0"/>
          <w:szCs w:val="32"/>
        </w:rPr>
        <w:t>（一）</w:t>
      </w:r>
      <w:r w:rsidR="000A6F50" w:rsidRPr="00E421F6">
        <w:rPr>
          <w:rFonts w:ascii="楷体_GB2312" w:eastAsia="楷体_GB2312" w:hint="eastAsia"/>
          <w:b w:val="0"/>
          <w:szCs w:val="32"/>
        </w:rPr>
        <w:t>基线</w:t>
      </w:r>
      <w:r w:rsidR="00B02B8D" w:rsidRPr="00E421F6">
        <w:rPr>
          <w:rFonts w:ascii="楷体_GB2312" w:eastAsia="楷体_GB2312" w:hint="eastAsia"/>
          <w:b w:val="0"/>
          <w:szCs w:val="32"/>
        </w:rPr>
        <w:t>评估</w:t>
      </w:r>
      <w:bookmarkEnd w:id="19"/>
    </w:p>
    <w:p w:rsidR="00B02B8D" w:rsidRPr="00E421F6" w:rsidRDefault="000A6F50"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初次诊断的患者应该在进入临床试验前</w:t>
      </w:r>
      <w:r w:rsidR="000022E2" w:rsidRPr="00E421F6">
        <w:rPr>
          <w:rFonts w:ascii="仿宋_GB2312" w:eastAsia="仿宋_GB2312" w:hAnsi="Times New Roman" w:cs="Times New Roman" w:hint="eastAsia"/>
          <w:color w:val="000000"/>
          <w:kern w:val="0"/>
          <w:sz w:val="32"/>
          <w:szCs w:val="32"/>
        </w:rPr>
        <w:t>，由</w:t>
      </w:r>
      <w:r w:rsidRPr="00E421F6">
        <w:rPr>
          <w:rFonts w:ascii="仿宋_GB2312" w:eastAsia="仿宋_GB2312" w:hAnsi="Times New Roman" w:cs="Times New Roman" w:hint="eastAsia"/>
          <w:color w:val="000000"/>
          <w:kern w:val="0"/>
          <w:sz w:val="32"/>
          <w:szCs w:val="32"/>
        </w:rPr>
        <w:t>中心实验室</w:t>
      </w:r>
      <w:r w:rsidR="000022E2" w:rsidRPr="00E421F6">
        <w:rPr>
          <w:rFonts w:ascii="仿宋_GB2312" w:eastAsia="仿宋_GB2312" w:hAnsi="Times New Roman" w:cs="Times New Roman" w:hint="eastAsia"/>
          <w:color w:val="000000"/>
          <w:kern w:val="0"/>
          <w:sz w:val="32"/>
          <w:szCs w:val="32"/>
        </w:rPr>
        <w:t>对部分关键诊断指标（例如外周血流式细胞术确定免疫分型）进行复查并</w:t>
      </w:r>
      <w:r w:rsidRPr="00E421F6">
        <w:rPr>
          <w:rFonts w:ascii="仿宋_GB2312" w:eastAsia="仿宋_GB2312" w:hAnsi="Times New Roman" w:cs="Times New Roman" w:hint="eastAsia"/>
          <w:color w:val="000000"/>
          <w:kern w:val="0"/>
          <w:sz w:val="32"/>
          <w:szCs w:val="32"/>
        </w:rPr>
        <w:t>进行诊断确认</w:t>
      </w:r>
      <w:r w:rsidR="00B02B8D" w:rsidRPr="00E421F6">
        <w:rPr>
          <w:rFonts w:ascii="仿宋_GB2312" w:eastAsia="仿宋_GB2312" w:hAnsi="Times New Roman" w:cs="Times New Roman" w:hint="eastAsia"/>
          <w:color w:val="000000"/>
          <w:kern w:val="0"/>
          <w:sz w:val="32"/>
          <w:szCs w:val="32"/>
        </w:rPr>
        <w:t>；其他患者人群涉及</w:t>
      </w:r>
      <w:proofErr w:type="gramStart"/>
      <w:r w:rsidR="00B02B8D" w:rsidRPr="00E421F6">
        <w:rPr>
          <w:rFonts w:ascii="仿宋_GB2312" w:eastAsia="仿宋_GB2312" w:hAnsi="Times New Roman" w:cs="Times New Roman" w:hint="eastAsia"/>
          <w:color w:val="000000"/>
          <w:kern w:val="0"/>
          <w:sz w:val="32"/>
          <w:szCs w:val="32"/>
        </w:rPr>
        <w:t>入排标准</w:t>
      </w:r>
      <w:proofErr w:type="gramEnd"/>
      <w:r w:rsidR="00B02B8D" w:rsidRPr="00E421F6">
        <w:rPr>
          <w:rFonts w:ascii="仿宋_GB2312" w:eastAsia="仿宋_GB2312" w:hAnsi="Times New Roman" w:cs="Times New Roman" w:hint="eastAsia"/>
          <w:color w:val="000000"/>
          <w:kern w:val="0"/>
          <w:sz w:val="32"/>
          <w:szCs w:val="32"/>
        </w:rPr>
        <w:t>中关键要求的检查指标也应以中心实验室的检测结果作为筛查依据</w:t>
      </w:r>
      <w:r w:rsidRPr="00E421F6">
        <w:rPr>
          <w:rFonts w:ascii="仿宋_GB2312" w:eastAsia="仿宋_GB2312" w:hAnsi="Times New Roman" w:cs="Times New Roman" w:hint="eastAsia"/>
          <w:color w:val="000000"/>
          <w:kern w:val="0"/>
          <w:sz w:val="32"/>
          <w:szCs w:val="32"/>
        </w:rPr>
        <w:t>。</w:t>
      </w:r>
      <w:r w:rsidR="00FB5239" w:rsidRPr="00E421F6">
        <w:rPr>
          <w:rFonts w:ascii="仿宋_GB2312" w:eastAsia="仿宋_GB2312" w:hAnsi="Times New Roman" w:cs="Times New Roman" w:hint="eastAsia"/>
          <w:color w:val="000000"/>
          <w:kern w:val="0"/>
          <w:sz w:val="32"/>
          <w:szCs w:val="32"/>
        </w:rPr>
        <w:t>进行全面的查体，尤其是浅表淋巴结、肝脾的触诊。</w:t>
      </w:r>
      <w:r w:rsidR="00FB5239" w:rsidRPr="00E421F6">
        <w:rPr>
          <w:rFonts w:ascii="仿宋_GB2312" w:eastAsia="仿宋_GB2312" w:hAnsi="Times New Roman" w:cs="Times New Roman"/>
          <w:color w:val="000000"/>
          <w:kern w:val="0"/>
          <w:sz w:val="32"/>
          <w:szCs w:val="32"/>
        </w:rPr>
        <w:t>评价体力状态、器官功能、合并症等以进行身体状态评估。</w:t>
      </w:r>
      <w:r w:rsidR="00996403" w:rsidRPr="00E421F6">
        <w:rPr>
          <w:rFonts w:ascii="仿宋_GB2312" w:eastAsia="仿宋_GB2312" w:hAnsi="Times New Roman" w:cs="Times New Roman" w:hint="eastAsia"/>
          <w:color w:val="000000"/>
          <w:kern w:val="0"/>
          <w:sz w:val="32"/>
          <w:szCs w:val="32"/>
        </w:rPr>
        <w:t>进行全面的常规染色体核型分析，采用</w:t>
      </w:r>
      <w:r w:rsidR="00B15499" w:rsidRPr="00E421F6">
        <w:rPr>
          <w:rFonts w:ascii="仿宋_GB2312" w:eastAsia="仿宋_GB2312" w:hAnsi="Times New Roman" w:cs="Times New Roman" w:hint="eastAsia"/>
          <w:color w:val="000000"/>
          <w:kern w:val="0"/>
          <w:sz w:val="32"/>
          <w:szCs w:val="32"/>
        </w:rPr>
        <w:t>外周血进行</w:t>
      </w:r>
      <w:r w:rsidR="00996403" w:rsidRPr="00E421F6">
        <w:rPr>
          <w:rFonts w:ascii="仿宋_GB2312" w:eastAsia="仿宋_GB2312" w:hAnsi="Times New Roman" w:cs="Times New Roman" w:hint="eastAsia"/>
          <w:color w:val="000000"/>
          <w:kern w:val="0"/>
          <w:sz w:val="32"/>
          <w:szCs w:val="32"/>
        </w:rPr>
        <w:t>荧光原位杂交技术（FISH</w:t>
      </w:r>
      <w:r w:rsidR="00B15499" w:rsidRPr="00E421F6">
        <w:rPr>
          <w:rFonts w:ascii="仿宋_GB2312" w:eastAsia="仿宋_GB2312" w:hAnsi="Times New Roman" w:cs="Times New Roman" w:hint="eastAsia"/>
          <w:color w:val="000000"/>
          <w:kern w:val="0"/>
          <w:sz w:val="32"/>
          <w:szCs w:val="32"/>
        </w:rPr>
        <w:t>）</w:t>
      </w:r>
      <w:r w:rsidR="00996403" w:rsidRPr="00E421F6">
        <w:rPr>
          <w:rFonts w:ascii="仿宋_GB2312" w:eastAsia="仿宋_GB2312" w:hAnsi="Times New Roman" w:cs="Times New Roman" w:hint="eastAsia"/>
          <w:color w:val="000000"/>
          <w:kern w:val="0"/>
          <w:sz w:val="32"/>
          <w:szCs w:val="32"/>
        </w:rPr>
        <w:t>对del（13p）、+12、del（11q）、del（17p）等细胞遗传学异常进行检测，明确是否伴有TP</w:t>
      </w:r>
      <w:r w:rsidR="00996403" w:rsidRPr="00E421F6">
        <w:rPr>
          <w:rFonts w:ascii="仿宋_GB2312" w:eastAsia="仿宋_GB2312" w:hAnsi="Times New Roman" w:cs="Times New Roman"/>
          <w:color w:val="000000"/>
          <w:kern w:val="0"/>
          <w:sz w:val="32"/>
          <w:szCs w:val="32"/>
        </w:rPr>
        <w:t>53</w:t>
      </w:r>
      <w:r w:rsidR="00996403" w:rsidRPr="00E421F6">
        <w:rPr>
          <w:rFonts w:ascii="仿宋_GB2312" w:eastAsia="仿宋_GB2312" w:hAnsi="Times New Roman" w:cs="Times New Roman" w:hint="eastAsia"/>
          <w:color w:val="000000"/>
          <w:kern w:val="0"/>
          <w:sz w:val="32"/>
          <w:szCs w:val="32"/>
        </w:rPr>
        <w:t>、IGHV、</w:t>
      </w:r>
      <w:r w:rsidR="00996403" w:rsidRPr="00E421F6">
        <w:rPr>
          <w:rFonts w:ascii="仿宋_GB2312" w:eastAsia="仿宋_GB2312" w:hAnsi="Times New Roman" w:cs="Times New Roman" w:hint="eastAsia"/>
          <w:color w:val="000000"/>
          <w:kern w:val="0"/>
          <w:sz w:val="32"/>
          <w:szCs w:val="32"/>
        </w:rPr>
        <w:lastRenderedPageBreak/>
        <w:t>NOTCH1、SF3B1或BIRC3等基因突变。鼓励研发单位根据新药的靶点或作用机制预测获益患者的生物学特征并有选择地筛选受试者，或在试验中重点观察这些生物学特征对治疗反应的影响，必要时应探索新的生物标志物并分析其对确定新药治疗优势的价值。</w:t>
      </w:r>
    </w:p>
    <w:p w:rsidR="007A5CED" w:rsidRPr="00E421F6" w:rsidRDefault="00B15499"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完成并记录临床分期，包括</w:t>
      </w:r>
      <w:proofErr w:type="spellStart"/>
      <w:r w:rsidRPr="00E421F6">
        <w:rPr>
          <w:rFonts w:ascii="仿宋_GB2312" w:eastAsia="仿宋_GB2312" w:hAnsi="Times New Roman" w:cs="Times New Roman" w:hint="eastAsia"/>
          <w:color w:val="000000"/>
          <w:kern w:val="0"/>
          <w:sz w:val="32"/>
          <w:szCs w:val="32"/>
        </w:rPr>
        <w:t>Binet</w:t>
      </w:r>
      <w:proofErr w:type="spellEnd"/>
      <w:r w:rsidRPr="00E421F6">
        <w:rPr>
          <w:rFonts w:ascii="仿宋_GB2312" w:eastAsia="仿宋_GB2312" w:hAnsi="Times New Roman" w:cs="Times New Roman" w:hint="eastAsia"/>
          <w:color w:val="000000"/>
          <w:kern w:val="0"/>
          <w:sz w:val="32"/>
          <w:szCs w:val="32"/>
        </w:rPr>
        <w:t>分期和Rai分期，采用慢性淋巴细胞白血病国际预后指数</w:t>
      </w:r>
      <w:r w:rsidR="006F0720" w:rsidRPr="00E421F6">
        <w:rPr>
          <w:rFonts w:ascii="仿宋_GB2312" w:eastAsia="仿宋_GB2312" w:hAnsi="Times New Roman" w:cs="Times New Roman" w:hint="eastAsia"/>
          <w:color w:val="000000"/>
          <w:kern w:val="0"/>
          <w:sz w:val="32"/>
          <w:szCs w:val="32"/>
        </w:rPr>
        <w:t>（CLL-IPI）</w:t>
      </w:r>
      <w:r w:rsidRPr="00E421F6">
        <w:rPr>
          <w:rFonts w:ascii="仿宋_GB2312" w:eastAsia="仿宋_GB2312" w:hAnsi="Times New Roman" w:cs="Times New Roman" w:hint="eastAsia"/>
          <w:color w:val="000000"/>
          <w:kern w:val="0"/>
          <w:sz w:val="32"/>
          <w:szCs w:val="32"/>
        </w:rPr>
        <w:t>进行危险分层。完成治疗指征评估。</w:t>
      </w:r>
    </w:p>
    <w:p w:rsidR="000A6F50" w:rsidRPr="00E421F6" w:rsidRDefault="00E421F6" w:rsidP="001B2755">
      <w:pPr>
        <w:pStyle w:val="2"/>
        <w:spacing w:before="0" w:after="0" w:line="360" w:lineRule="auto"/>
        <w:rPr>
          <w:rFonts w:ascii="楷体_GB2312" w:eastAsia="楷体_GB2312"/>
          <w:b w:val="0"/>
          <w:szCs w:val="32"/>
        </w:rPr>
      </w:pPr>
      <w:bookmarkStart w:id="20" w:name="_Toc104979994"/>
      <w:r>
        <w:rPr>
          <w:rFonts w:ascii="楷体_GB2312" w:eastAsia="楷体_GB2312" w:hint="eastAsia"/>
          <w:b w:val="0"/>
          <w:szCs w:val="32"/>
        </w:rPr>
        <w:t>（二）</w:t>
      </w:r>
      <w:r w:rsidR="001B2755" w:rsidRPr="00E421F6">
        <w:rPr>
          <w:rFonts w:ascii="楷体_GB2312" w:eastAsia="楷体_GB2312" w:hint="eastAsia"/>
          <w:b w:val="0"/>
          <w:szCs w:val="32"/>
        </w:rPr>
        <w:t>人群定义</w:t>
      </w:r>
      <w:bookmarkEnd w:id="20"/>
    </w:p>
    <w:p w:rsidR="00095FB6" w:rsidRPr="00E421F6" w:rsidRDefault="001B0617"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既往未经过系统治疗的新诊断患者：</w:t>
      </w:r>
      <w:r w:rsidRPr="00E421F6">
        <w:rPr>
          <w:rFonts w:ascii="仿宋_GB2312" w:eastAsia="仿宋_GB2312" w:hAnsi="Times New Roman" w:cs="Times New Roman" w:hint="eastAsia"/>
          <w:color w:val="000000"/>
          <w:kern w:val="0"/>
          <w:sz w:val="32"/>
          <w:szCs w:val="32"/>
        </w:rPr>
        <w:t>临床实践中根据患者的年龄、有无del（17p）/TP53基因突变</w:t>
      </w:r>
      <w:r w:rsidR="00095FB6" w:rsidRPr="00E421F6">
        <w:rPr>
          <w:rFonts w:ascii="仿宋_GB2312" w:eastAsia="仿宋_GB2312" w:hAnsi="Times New Roman" w:cs="Times New Roman" w:hint="eastAsia"/>
          <w:color w:val="000000"/>
          <w:kern w:val="0"/>
          <w:sz w:val="32"/>
          <w:szCs w:val="32"/>
        </w:rPr>
        <w:t>和</w:t>
      </w:r>
      <w:r w:rsidR="00DE2601" w:rsidRPr="00E421F6">
        <w:rPr>
          <w:rFonts w:ascii="仿宋_GB2312" w:eastAsia="仿宋_GB2312" w:hAnsi="Times New Roman" w:cs="Times New Roman" w:hint="eastAsia"/>
          <w:color w:val="000000"/>
          <w:kern w:val="0"/>
          <w:sz w:val="32"/>
          <w:szCs w:val="32"/>
        </w:rPr>
        <w:t>身体状态</w:t>
      </w:r>
      <w:r w:rsidR="00095FB6" w:rsidRPr="00E421F6">
        <w:rPr>
          <w:rFonts w:ascii="仿宋_GB2312" w:eastAsia="仿宋_GB2312" w:hAnsi="Times New Roman" w:cs="Times New Roman" w:hint="eastAsia"/>
          <w:color w:val="000000"/>
          <w:kern w:val="0"/>
          <w:sz w:val="32"/>
          <w:szCs w:val="32"/>
        </w:rPr>
        <w:t>来确定治疗方案，因此在目标人群的定义中需清晰地表述对上述情况的具体要求。若无del（17p）/TP53基因突变，区分为年龄＜65周岁的年轻患者、年龄≥65周岁但身体状态良好的患者、年龄≥65周岁且身体状态欠佳三类。</w:t>
      </w:r>
      <w:r w:rsidR="00614230" w:rsidRPr="00E421F6">
        <w:rPr>
          <w:rFonts w:ascii="仿宋_GB2312" w:eastAsia="仿宋_GB2312" w:hAnsi="Times New Roman" w:cs="Times New Roman" w:hint="eastAsia"/>
          <w:color w:val="000000"/>
          <w:kern w:val="0"/>
          <w:sz w:val="32"/>
          <w:szCs w:val="32"/>
        </w:rPr>
        <w:t>伴有del（17p）/TP53基因突变对化疗反应不佳。此外，可以根据前期研究中确定的优势人群对其他预后相关因素，例如IGHV基因突变</w:t>
      </w:r>
      <w:r w:rsidR="006F0720" w:rsidRPr="00E421F6">
        <w:rPr>
          <w:rFonts w:ascii="仿宋_GB2312" w:eastAsia="仿宋_GB2312" w:hAnsi="Times New Roman" w:cs="Times New Roman" w:hint="eastAsia"/>
          <w:color w:val="000000"/>
          <w:kern w:val="0"/>
          <w:sz w:val="32"/>
          <w:szCs w:val="32"/>
        </w:rPr>
        <w:t>状态、CLL-IPI危险分层等，提出相应的要求。</w:t>
      </w:r>
    </w:p>
    <w:p w:rsidR="00095FB6" w:rsidRPr="00E421F6" w:rsidRDefault="006F0720"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b/>
          <w:color w:val="000000"/>
          <w:kern w:val="0"/>
          <w:sz w:val="32"/>
          <w:szCs w:val="32"/>
        </w:rPr>
        <w:t>复发或难治患者：</w:t>
      </w:r>
      <w:r w:rsidRPr="00E421F6">
        <w:rPr>
          <w:rFonts w:ascii="仿宋_GB2312" w:eastAsia="仿宋_GB2312" w:hAnsi="Times New Roman" w:cs="Times New Roman" w:hint="eastAsia"/>
          <w:color w:val="000000"/>
          <w:kern w:val="0"/>
          <w:sz w:val="32"/>
          <w:szCs w:val="32"/>
        </w:rPr>
        <w:t>复发：患者达到CR或PR，缓解持续</w:t>
      </w:r>
      <w:r w:rsidR="005467DB" w:rsidRPr="00E421F6">
        <w:rPr>
          <w:rFonts w:ascii="仿宋_GB2312" w:eastAsia="仿宋_GB2312" w:hAnsi="Times New Roman" w:cs="Times New Roman" w:hint="eastAsia"/>
          <w:color w:val="000000"/>
          <w:kern w:val="0"/>
          <w:sz w:val="32"/>
          <w:szCs w:val="32"/>
        </w:rPr>
        <w:t>≥</w:t>
      </w:r>
      <w:r w:rsidR="005467DB" w:rsidRPr="00E421F6">
        <w:rPr>
          <w:rFonts w:ascii="仿宋_GB2312" w:eastAsia="仿宋_GB2312" w:hAnsi="Times New Roman" w:cs="Times New Roman"/>
          <w:color w:val="000000"/>
          <w:kern w:val="0"/>
          <w:sz w:val="32"/>
          <w:szCs w:val="32"/>
        </w:rPr>
        <w:t>6</w:t>
      </w:r>
      <w:r w:rsidR="005467DB" w:rsidRPr="00E421F6">
        <w:rPr>
          <w:rFonts w:ascii="仿宋_GB2312" w:eastAsia="仿宋_GB2312" w:hAnsi="Times New Roman" w:cs="Times New Roman" w:hint="eastAsia"/>
          <w:color w:val="000000"/>
          <w:kern w:val="0"/>
          <w:sz w:val="32"/>
          <w:szCs w:val="32"/>
        </w:rPr>
        <w:t>个月</w:t>
      </w:r>
      <w:r w:rsidRPr="00E421F6">
        <w:rPr>
          <w:rFonts w:ascii="仿宋_GB2312" w:eastAsia="仿宋_GB2312" w:hAnsi="Times New Roman" w:cs="Times New Roman" w:hint="eastAsia"/>
          <w:color w:val="000000"/>
          <w:kern w:val="0"/>
          <w:sz w:val="32"/>
          <w:szCs w:val="32"/>
        </w:rPr>
        <w:t>后疾病进展；难治：治疗失败（未获PR），治疗期间或缓解持续</w:t>
      </w:r>
      <w:r w:rsidR="005467DB" w:rsidRPr="00E421F6">
        <w:rPr>
          <w:rFonts w:ascii="仿宋_GB2312" w:eastAsia="仿宋_GB2312" w:hAnsi="Times New Roman" w:cs="Times New Roman" w:hint="eastAsia"/>
          <w:color w:val="000000"/>
          <w:kern w:val="0"/>
          <w:sz w:val="32"/>
          <w:szCs w:val="32"/>
        </w:rPr>
        <w:t>＜</w:t>
      </w:r>
      <w:r w:rsidR="005467DB" w:rsidRPr="00E421F6">
        <w:rPr>
          <w:rFonts w:ascii="仿宋_GB2312" w:eastAsia="仿宋_GB2312" w:hAnsi="Times New Roman" w:cs="Times New Roman"/>
          <w:color w:val="000000"/>
          <w:kern w:val="0"/>
          <w:sz w:val="32"/>
          <w:szCs w:val="32"/>
        </w:rPr>
        <w:t>6</w:t>
      </w:r>
      <w:r w:rsidR="005467DB" w:rsidRPr="00E421F6">
        <w:rPr>
          <w:rFonts w:ascii="仿宋_GB2312" w:eastAsia="仿宋_GB2312" w:hAnsi="Times New Roman" w:cs="Times New Roman" w:hint="eastAsia"/>
          <w:color w:val="000000"/>
          <w:kern w:val="0"/>
          <w:sz w:val="32"/>
          <w:szCs w:val="32"/>
        </w:rPr>
        <w:t>个月</w:t>
      </w:r>
      <w:r w:rsidRPr="00E421F6">
        <w:rPr>
          <w:rFonts w:ascii="仿宋_GB2312" w:eastAsia="仿宋_GB2312" w:hAnsi="Times New Roman" w:cs="Times New Roman" w:hint="eastAsia"/>
          <w:color w:val="000000"/>
          <w:kern w:val="0"/>
          <w:sz w:val="32"/>
          <w:szCs w:val="32"/>
        </w:rPr>
        <w:t>疾病进展</w:t>
      </w:r>
      <w:r w:rsidR="005467DB" w:rsidRPr="00EC073B">
        <w:rPr>
          <w:rFonts w:ascii="仿宋_GB2312" w:eastAsia="仿宋_GB2312" w:hAnsi="Times New Roman" w:cs="Times New Roman"/>
          <w:color w:val="000000"/>
          <w:kern w:val="0"/>
          <w:sz w:val="32"/>
          <w:szCs w:val="32"/>
          <w:vertAlign w:val="superscript"/>
        </w:rPr>
        <w:t>[3]</w:t>
      </w:r>
      <w:r w:rsidRPr="00E421F6">
        <w:rPr>
          <w:rFonts w:ascii="仿宋_GB2312" w:eastAsia="仿宋_GB2312" w:hAnsi="Times New Roman" w:cs="Times New Roman" w:hint="eastAsia"/>
          <w:color w:val="000000"/>
          <w:kern w:val="0"/>
          <w:sz w:val="32"/>
          <w:szCs w:val="32"/>
        </w:rPr>
        <w:t>。复发难治的患者将根据前期治疗方案、缓解持续</w:t>
      </w:r>
      <w:r w:rsidR="000B38F0" w:rsidRPr="00E421F6">
        <w:rPr>
          <w:rFonts w:ascii="仿宋_GB2312" w:eastAsia="仿宋_GB2312" w:hAnsi="Times New Roman" w:cs="Times New Roman" w:hint="eastAsia"/>
          <w:color w:val="000000"/>
          <w:kern w:val="0"/>
          <w:sz w:val="32"/>
          <w:szCs w:val="32"/>
        </w:rPr>
        <w:t>时间</w:t>
      </w:r>
      <w:r w:rsidRPr="00E421F6">
        <w:rPr>
          <w:rFonts w:ascii="仿宋_GB2312" w:eastAsia="仿宋_GB2312" w:hAnsi="Times New Roman" w:cs="Times New Roman" w:hint="eastAsia"/>
          <w:color w:val="000000"/>
          <w:kern w:val="0"/>
          <w:sz w:val="32"/>
          <w:szCs w:val="32"/>
        </w:rPr>
        <w:t>、是否伴有del（17p）/TP53</w:t>
      </w:r>
      <w:r w:rsidRPr="00E421F6">
        <w:rPr>
          <w:rFonts w:ascii="仿宋_GB2312" w:eastAsia="仿宋_GB2312" w:hAnsi="Times New Roman" w:cs="Times New Roman" w:hint="eastAsia"/>
          <w:color w:val="000000"/>
          <w:kern w:val="0"/>
          <w:sz w:val="32"/>
          <w:szCs w:val="32"/>
        </w:rPr>
        <w:lastRenderedPageBreak/>
        <w:t>基因突变和身体状态</w:t>
      </w:r>
      <w:r w:rsidR="00DE2601" w:rsidRPr="00E421F6">
        <w:rPr>
          <w:rFonts w:ascii="仿宋_GB2312" w:eastAsia="仿宋_GB2312" w:hAnsi="Times New Roman" w:cs="Times New Roman" w:hint="eastAsia"/>
          <w:color w:val="000000"/>
          <w:kern w:val="0"/>
          <w:sz w:val="32"/>
          <w:szCs w:val="32"/>
        </w:rPr>
        <w:t>确定后线治疗方案，因此在目标人群的定义时应该予以明确。对于难治患者，如果前期治疗方案为需要持续给药的小分子靶向药物，治疗失败者应该明确最短的治疗时长（可以根据药物治疗后中位达缓解时间提出要求）。治疗线数的确定：每</w:t>
      </w:r>
      <w:r w:rsidR="009052C6" w:rsidRPr="00E421F6">
        <w:rPr>
          <w:rFonts w:ascii="仿宋_GB2312" w:eastAsia="仿宋_GB2312" w:hAnsi="Times New Roman" w:cs="Times New Roman" w:hint="eastAsia"/>
          <w:color w:val="000000"/>
          <w:kern w:val="0"/>
          <w:sz w:val="32"/>
          <w:szCs w:val="32"/>
        </w:rPr>
        <w:t>种</w:t>
      </w:r>
      <w:r w:rsidR="00DE2601" w:rsidRPr="00E421F6">
        <w:rPr>
          <w:rFonts w:ascii="仿宋_GB2312" w:eastAsia="仿宋_GB2312" w:hAnsi="Times New Roman" w:cs="Times New Roman" w:hint="eastAsia"/>
          <w:color w:val="000000"/>
          <w:kern w:val="0"/>
          <w:sz w:val="32"/>
          <w:szCs w:val="32"/>
        </w:rPr>
        <w:t>治疗方案应该有足够达到治疗目标的周期数；起始后线治疗前应该有</w:t>
      </w:r>
      <w:r w:rsidR="0083403A" w:rsidRPr="00E421F6">
        <w:rPr>
          <w:rFonts w:ascii="仿宋_GB2312" w:eastAsia="仿宋_GB2312" w:hAnsi="Times New Roman" w:cs="Times New Roman" w:hint="eastAsia"/>
          <w:color w:val="000000"/>
          <w:kern w:val="0"/>
          <w:sz w:val="32"/>
          <w:szCs w:val="32"/>
        </w:rPr>
        <w:t>明确记录的</w:t>
      </w:r>
      <w:r w:rsidR="008074A2" w:rsidRPr="00E421F6">
        <w:rPr>
          <w:rFonts w:ascii="仿宋_GB2312" w:eastAsia="仿宋_GB2312" w:hAnsi="Times New Roman" w:cs="Times New Roman" w:hint="eastAsia"/>
          <w:color w:val="000000"/>
          <w:kern w:val="0"/>
          <w:sz w:val="32"/>
          <w:szCs w:val="32"/>
        </w:rPr>
        <w:t>前线治疗失败、</w:t>
      </w:r>
      <w:r w:rsidR="00DE2601" w:rsidRPr="00E421F6">
        <w:rPr>
          <w:rFonts w:ascii="仿宋_GB2312" w:eastAsia="仿宋_GB2312" w:hAnsi="Times New Roman" w:cs="Times New Roman" w:hint="eastAsia"/>
          <w:color w:val="000000"/>
          <w:kern w:val="0"/>
          <w:sz w:val="32"/>
          <w:szCs w:val="32"/>
        </w:rPr>
        <w:t>疾病复发或进展；如果接受某种治疗方案持续缓解</w:t>
      </w:r>
      <w:r w:rsidR="005467DB" w:rsidRPr="00E421F6">
        <w:rPr>
          <w:rFonts w:ascii="仿宋_GB2312" w:eastAsia="仿宋_GB2312" w:hAnsi="Times New Roman" w:cs="Times New Roman" w:hint="eastAsia"/>
          <w:color w:val="000000"/>
          <w:kern w:val="0"/>
          <w:sz w:val="32"/>
          <w:szCs w:val="32"/>
        </w:rPr>
        <w:t>≥</w:t>
      </w:r>
      <w:r w:rsidR="005467DB" w:rsidRPr="00E421F6">
        <w:rPr>
          <w:rFonts w:ascii="仿宋_GB2312" w:eastAsia="仿宋_GB2312" w:hAnsi="Times New Roman" w:cs="Times New Roman"/>
          <w:color w:val="000000"/>
          <w:kern w:val="0"/>
          <w:sz w:val="32"/>
          <w:szCs w:val="32"/>
        </w:rPr>
        <w:t>2</w:t>
      </w:r>
      <w:r w:rsidR="005467DB" w:rsidRPr="00E421F6">
        <w:rPr>
          <w:rFonts w:ascii="仿宋_GB2312" w:eastAsia="仿宋_GB2312" w:hAnsi="Times New Roman" w:cs="Times New Roman" w:hint="eastAsia"/>
          <w:color w:val="000000"/>
          <w:kern w:val="0"/>
          <w:sz w:val="32"/>
          <w:szCs w:val="32"/>
        </w:rPr>
        <w:t>年</w:t>
      </w:r>
      <w:r w:rsidR="00DE2601" w:rsidRPr="00E421F6">
        <w:rPr>
          <w:rFonts w:ascii="仿宋_GB2312" w:eastAsia="仿宋_GB2312" w:hAnsi="Times New Roman" w:cs="Times New Roman" w:hint="eastAsia"/>
          <w:color w:val="000000"/>
          <w:kern w:val="0"/>
          <w:sz w:val="32"/>
          <w:szCs w:val="32"/>
        </w:rPr>
        <w:t>且进展后重复该方案治疗</w:t>
      </w:r>
      <w:r w:rsidR="009052C6" w:rsidRPr="00E421F6">
        <w:rPr>
          <w:rFonts w:ascii="仿宋_GB2312" w:eastAsia="仿宋_GB2312" w:hAnsi="Times New Roman" w:cs="Times New Roman" w:hint="eastAsia"/>
          <w:color w:val="000000"/>
          <w:kern w:val="0"/>
          <w:sz w:val="32"/>
          <w:szCs w:val="32"/>
        </w:rPr>
        <w:t>，相同给药方案应该计为1线。</w:t>
      </w:r>
    </w:p>
    <w:p w:rsidR="0022333D" w:rsidRPr="00E421F6" w:rsidRDefault="0032522C" w:rsidP="00E421F6">
      <w:pPr>
        <w:spacing w:line="360" w:lineRule="auto"/>
        <w:ind w:firstLineChars="200" w:firstLine="643"/>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b/>
          <w:color w:val="000000"/>
          <w:kern w:val="0"/>
          <w:sz w:val="32"/>
          <w:szCs w:val="32"/>
        </w:rPr>
        <w:t>分层</w:t>
      </w:r>
      <w:r w:rsidR="00995C76" w:rsidRPr="005A0939">
        <w:rPr>
          <w:rFonts w:ascii="仿宋_GB2312" w:eastAsia="仿宋_GB2312" w:hAnsi="Times New Roman" w:cs="Times New Roman"/>
          <w:b/>
          <w:color w:val="000000"/>
          <w:kern w:val="0"/>
          <w:sz w:val="32"/>
          <w:szCs w:val="32"/>
        </w:rPr>
        <w:t>因素：</w:t>
      </w:r>
      <w:r w:rsidR="00995C76" w:rsidRPr="00E421F6">
        <w:rPr>
          <w:rFonts w:ascii="仿宋_GB2312" w:eastAsia="仿宋_GB2312" w:hAnsi="Times New Roman" w:cs="Times New Roman"/>
          <w:color w:val="000000"/>
          <w:kern w:val="0"/>
          <w:sz w:val="32"/>
          <w:szCs w:val="32"/>
        </w:rPr>
        <w:t>患者的临床分期、</w:t>
      </w:r>
      <w:r w:rsidR="00995C76" w:rsidRPr="00E421F6">
        <w:rPr>
          <w:rFonts w:ascii="仿宋_GB2312" w:eastAsia="仿宋_GB2312" w:hAnsi="Times New Roman" w:cs="Times New Roman" w:hint="eastAsia"/>
          <w:color w:val="000000"/>
          <w:kern w:val="0"/>
          <w:sz w:val="32"/>
          <w:szCs w:val="32"/>
        </w:rPr>
        <w:t>CLL-IPI危险分层</w:t>
      </w:r>
      <w:r w:rsidR="004A5C46" w:rsidRPr="00E421F6">
        <w:rPr>
          <w:rFonts w:ascii="仿宋_GB2312" w:eastAsia="仿宋_GB2312" w:hAnsi="Times New Roman" w:cs="Times New Roman" w:hint="eastAsia"/>
          <w:color w:val="000000"/>
          <w:kern w:val="0"/>
          <w:sz w:val="32"/>
          <w:szCs w:val="32"/>
        </w:rPr>
        <w:t>、del（17p）/TP53基因突变</w:t>
      </w:r>
      <w:r w:rsidR="00995C76" w:rsidRPr="00E421F6">
        <w:rPr>
          <w:rFonts w:ascii="仿宋_GB2312" w:eastAsia="仿宋_GB2312" w:hAnsi="Times New Roman" w:cs="Times New Roman" w:hint="eastAsia"/>
          <w:color w:val="000000"/>
          <w:kern w:val="0"/>
          <w:sz w:val="32"/>
          <w:szCs w:val="32"/>
        </w:rPr>
        <w:t>、IGHV基因突变状态</w:t>
      </w:r>
      <w:r w:rsidR="004A5C46" w:rsidRPr="00E421F6">
        <w:rPr>
          <w:rFonts w:ascii="仿宋_GB2312" w:eastAsia="仿宋_GB2312" w:hAnsi="Times New Roman" w:cs="Times New Roman" w:hint="eastAsia"/>
          <w:color w:val="000000"/>
          <w:kern w:val="0"/>
          <w:sz w:val="32"/>
          <w:szCs w:val="32"/>
        </w:rPr>
        <w:t>、既往治疗线数</w:t>
      </w:r>
      <w:r w:rsidR="005B466F" w:rsidRPr="00E421F6">
        <w:rPr>
          <w:rFonts w:ascii="仿宋_GB2312" w:eastAsia="仿宋_GB2312" w:hAnsi="Times New Roman" w:cs="Times New Roman"/>
          <w:color w:val="000000"/>
          <w:kern w:val="0"/>
          <w:sz w:val="32"/>
          <w:szCs w:val="32"/>
        </w:rPr>
        <w:t>、是否对某一类药物难治等均可能影响患者对其他药物</w:t>
      </w:r>
      <w:r w:rsidR="005B466F" w:rsidRPr="00E421F6">
        <w:rPr>
          <w:rFonts w:ascii="仿宋_GB2312" w:eastAsia="仿宋_GB2312" w:hAnsi="Times New Roman" w:cs="Times New Roman" w:hint="eastAsia"/>
          <w:color w:val="000000"/>
          <w:kern w:val="0"/>
          <w:sz w:val="32"/>
          <w:szCs w:val="32"/>
        </w:rPr>
        <w:t>/方案的治疗反应</w:t>
      </w:r>
      <w:r w:rsidR="005B466F" w:rsidRPr="00E421F6">
        <w:rPr>
          <w:rFonts w:ascii="仿宋_GB2312" w:eastAsia="仿宋_GB2312" w:hAnsi="Times New Roman" w:cs="Times New Roman"/>
          <w:color w:val="000000"/>
          <w:kern w:val="0"/>
          <w:sz w:val="32"/>
          <w:szCs w:val="32"/>
        </w:rPr>
        <w:t>，建议根据具体药物和其他研究设计要素选择合理的分层因素。</w:t>
      </w:r>
    </w:p>
    <w:p w:rsidR="0022333D" w:rsidRPr="00E421F6" w:rsidRDefault="00E421F6" w:rsidP="0022333D">
      <w:pPr>
        <w:pStyle w:val="2"/>
        <w:spacing w:before="0" w:after="0" w:line="360" w:lineRule="auto"/>
        <w:rPr>
          <w:rFonts w:ascii="楷体_GB2312" w:eastAsia="楷体_GB2312"/>
          <w:b w:val="0"/>
          <w:szCs w:val="32"/>
        </w:rPr>
      </w:pPr>
      <w:bookmarkStart w:id="21" w:name="_Toc104979995"/>
      <w:r>
        <w:rPr>
          <w:rFonts w:ascii="楷体_GB2312" w:eastAsia="楷体_GB2312" w:hint="eastAsia"/>
          <w:b w:val="0"/>
          <w:szCs w:val="32"/>
        </w:rPr>
        <w:t>（三）</w:t>
      </w:r>
      <w:r w:rsidR="0022333D" w:rsidRPr="00E421F6">
        <w:rPr>
          <w:rFonts w:ascii="楷体_GB2312" w:eastAsia="楷体_GB2312" w:hint="eastAsia"/>
          <w:b w:val="0"/>
          <w:szCs w:val="32"/>
        </w:rPr>
        <w:t>对照选择</w:t>
      </w:r>
      <w:bookmarkEnd w:id="21"/>
    </w:p>
    <w:p w:rsidR="00875363" w:rsidRPr="00E421F6" w:rsidRDefault="00670A30"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原则上，应该选择目标人群现有最佳治疗手段作为关键性注册研究的对照治疗。</w:t>
      </w:r>
      <w:r w:rsidR="00875363" w:rsidRPr="00E421F6">
        <w:rPr>
          <w:rFonts w:ascii="仿宋_GB2312" w:eastAsia="仿宋_GB2312" w:hAnsi="Times New Roman" w:cs="Times New Roman" w:hint="eastAsia"/>
          <w:color w:val="000000"/>
          <w:kern w:val="0"/>
          <w:sz w:val="32"/>
          <w:szCs w:val="32"/>
        </w:rPr>
        <w:t>按照“</w:t>
      </w:r>
      <w:r w:rsidR="00C0146B" w:rsidRPr="00E421F6">
        <w:rPr>
          <w:rFonts w:ascii="仿宋_GB2312" w:eastAsia="仿宋_GB2312" w:hAnsi="Times New Roman" w:cs="Times New Roman" w:hint="eastAsia"/>
          <w:color w:val="000000"/>
          <w:kern w:val="0"/>
          <w:sz w:val="32"/>
          <w:szCs w:val="32"/>
        </w:rPr>
        <w:t>5</w:t>
      </w:r>
      <w:r w:rsidR="00875363" w:rsidRPr="00E421F6">
        <w:rPr>
          <w:rFonts w:ascii="仿宋_GB2312" w:eastAsia="仿宋_GB2312" w:hAnsi="Times New Roman" w:cs="Times New Roman" w:hint="eastAsia"/>
          <w:color w:val="000000"/>
          <w:kern w:val="0"/>
          <w:sz w:val="32"/>
          <w:szCs w:val="32"/>
        </w:rPr>
        <w:t>.2人群定义”中所述，CLL患者的治疗决策考虑因素较多，对照方案的选择应与人群定义相匹配。一般而言，伴有del（17p）/TP53基因突变</w:t>
      </w:r>
      <w:r w:rsidR="00157206" w:rsidRPr="00E421F6">
        <w:rPr>
          <w:rFonts w:ascii="仿宋_GB2312" w:eastAsia="仿宋_GB2312" w:hAnsi="Times New Roman" w:cs="Times New Roman" w:hint="eastAsia"/>
          <w:color w:val="000000"/>
          <w:kern w:val="0"/>
          <w:sz w:val="32"/>
          <w:szCs w:val="32"/>
        </w:rPr>
        <w:t>者对化疗反应不佳，</w:t>
      </w:r>
      <w:r w:rsidR="00415AB8" w:rsidRPr="00E421F6">
        <w:rPr>
          <w:rFonts w:ascii="仿宋_GB2312" w:eastAsia="仿宋_GB2312" w:hAnsi="Times New Roman" w:cs="Times New Roman" w:hint="eastAsia"/>
          <w:color w:val="000000"/>
          <w:kern w:val="0"/>
          <w:sz w:val="32"/>
          <w:szCs w:val="32"/>
        </w:rPr>
        <w:t>现阶段</w:t>
      </w:r>
      <w:r w:rsidR="00157206" w:rsidRPr="00E421F6">
        <w:rPr>
          <w:rFonts w:ascii="仿宋_GB2312" w:eastAsia="仿宋_GB2312" w:hAnsi="Times New Roman" w:cs="Times New Roman" w:hint="eastAsia"/>
          <w:color w:val="000000"/>
          <w:kern w:val="0"/>
          <w:sz w:val="32"/>
          <w:szCs w:val="32"/>
        </w:rPr>
        <w:t>可以选择</w:t>
      </w:r>
      <w:r w:rsidR="00415AB8" w:rsidRPr="00E421F6">
        <w:rPr>
          <w:rFonts w:ascii="仿宋_GB2312" w:eastAsia="仿宋_GB2312" w:hAnsi="Times New Roman" w:cs="Times New Roman" w:hint="eastAsia"/>
          <w:color w:val="000000"/>
          <w:kern w:val="0"/>
          <w:sz w:val="32"/>
          <w:szCs w:val="32"/>
        </w:rPr>
        <w:t>BTK抑制剂±CD20单</w:t>
      </w:r>
      <w:proofErr w:type="gramStart"/>
      <w:r w:rsidR="00415AB8" w:rsidRPr="00E421F6">
        <w:rPr>
          <w:rFonts w:ascii="仿宋_GB2312" w:eastAsia="仿宋_GB2312" w:hAnsi="Times New Roman" w:cs="Times New Roman" w:hint="eastAsia"/>
          <w:color w:val="000000"/>
          <w:kern w:val="0"/>
          <w:sz w:val="32"/>
          <w:szCs w:val="32"/>
        </w:rPr>
        <w:t>抗作为</w:t>
      </w:r>
      <w:proofErr w:type="gramEnd"/>
      <w:r w:rsidR="00415AB8" w:rsidRPr="00E421F6">
        <w:rPr>
          <w:rFonts w:ascii="仿宋_GB2312" w:eastAsia="仿宋_GB2312" w:hAnsi="Times New Roman" w:cs="Times New Roman" w:hint="eastAsia"/>
          <w:color w:val="000000"/>
          <w:kern w:val="0"/>
          <w:sz w:val="32"/>
          <w:szCs w:val="32"/>
        </w:rPr>
        <w:t>对照治疗；</w:t>
      </w:r>
      <w:proofErr w:type="gramStart"/>
      <w:r w:rsidR="00415AB8" w:rsidRPr="00E421F6">
        <w:rPr>
          <w:rFonts w:ascii="仿宋_GB2312" w:eastAsia="仿宋_GB2312" w:hAnsi="Times New Roman" w:cs="Times New Roman" w:hint="eastAsia"/>
          <w:color w:val="000000"/>
          <w:kern w:val="0"/>
          <w:sz w:val="32"/>
          <w:szCs w:val="32"/>
        </w:rPr>
        <w:t>不</w:t>
      </w:r>
      <w:proofErr w:type="gramEnd"/>
      <w:r w:rsidR="00415AB8" w:rsidRPr="00E421F6">
        <w:rPr>
          <w:rFonts w:ascii="仿宋_GB2312" w:eastAsia="仿宋_GB2312" w:hAnsi="Times New Roman" w:cs="Times New Roman" w:hint="eastAsia"/>
          <w:color w:val="000000"/>
          <w:kern w:val="0"/>
          <w:sz w:val="32"/>
          <w:szCs w:val="32"/>
        </w:rPr>
        <w:t>伴有del（17p）/TP53基因突变者，年轻或身体状态良好者可以选择高强度的免疫化疗方案，而身体状态不佳的患者可以选择降低强度的免疫化疗方案或者去化疗</w:t>
      </w:r>
      <w:r w:rsidR="00415AB8" w:rsidRPr="00E421F6">
        <w:rPr>
          <w:rFonts w:ascii="仿宋_GB2312" w:eastAsia="仿宋_GB2312" w:hAnsi="Times New Roman" w:cs="Times New Roman" w:hint="eastAsia"/>
          <w:color w:val="000000"/>
          <w:kern w:val="0"/>
          <w:sz w:val="32"/>
          <w:szCs w:val="32"/>
        </w:rPr>
        <w:lastRenderedPageBreak/>
        <w:t>靶</w:t>
      </w:r>
      <w:proofErr w:type="gramStart"/>
      <w:r w:rsidR="00415AB8" w:rsidRPr="00E421F6">
        <w:rPr>
          <w:rFonts w:ascii="仿宋_GB2312" w:eastAsia="仿宋_GB2312" w:hAnsi="Times New Roman" w:cs="Times New Roman" w:hint="eastAsia"/>
          <w:color w:val="000000"/>
          <w:kern w:val="0"/>
          <w:sz w:val="32"/>
          <w:szCs w:val="32"/>
        </w:rPr>
        <w:t>向治疗</w:t>
      </w:r>
      <w:proofErr w:type="gramEnd"/>
      <w:r w:rsidR="00415AB8" w:rsidRPr="00E421F6">
        <w:rPr>
          <w:rFonts w:ascii="仿宋_GB2312" w:eastAsia="仿宋_GB2312" w:hAnsi="Times New Roman" w:cs="Times New Roman" w:hint="eastAsia"/>
          <w:color w:val="000000"/>
          <w:kern w:val="0"/>
          <w:sz w:val="32"/>
          <w:szCs w:val="32"/>
        </w:rPr>
        <w:t>方案作为对照治疗。对照治疗可以是单一的标准方案或推荐方案，也可以是可供研究者选择的多个方案。如果是在现有标准方案或推荐方案的基础上增加新药（add-on）或用新药替换已有药物，建议以</w:t>
      </w:r>
      <w:r w:rsidR="00FA59EC" w:rsidRPr="00E421F6">
        <w:rPr>
          <w:rFonts w:ascii="仿宋_GB2312" w:eastAsia="仿宋_GB2312" w:hAnsi="Times New Roman" w:cs="Times New Roman" w:hint="eastAsia"/>
          <w:color w:val="000000"/>
          <w:kern w:val="0"/>
          <w:sz w:val="32"/>
          <w:szCs w:val="32"/>
        </w:rPr>
        <w:t>增加或替换前的</w:t>
      </w:r>
      <w:r w:rsidR="00415AB8" w:rsidRPr="00E421F6">
        <w:rPr>
          <w:rFonts w:ascii="仿宋_GB2312" w:eastAsia="仿宋_GB2312" w:hAnsi="Times New Roman" w:cs="Times New Roman" w:hint="eastAsia"/>
          <w:color w:val="000000"/>
          <w:kern w:val="0"/>
          <w:sz w:val="32"/>
          <w:szCs w:val="32"/>
        </w:rPr>
        <w:t>基础方案作为对照治疗。近年来，不断有新的</w:t>
      </w:r>
      <w:r w:rsidR="00BE1913" w:rsidRPr="00E421F6">
        <w:rPr>
          <w:rFonts w:ascii="仿宋_GB2312" w:eastAsia="仿宋_GB2312" w:hAnsi="Times New Roman" w:cs="Times New Roman" w:hint="eastAsia"/>
          <w:color w:val="000000"/>
          <w:kern w:val="0"/>
          <w:sz w:val="32"/>
          <w:szCs w:val="32"/>
        </w:rPr>
        <w:t>CLL</w:t>
      </w:r>
      <w:r w:rsidR="00415AB8" w:rsidRPr="00E421F6">
        <w:rPr>
          <w:rFonts w:ascii="仿宋_GB2312" w:eastAsia="仿宋_GB2312" w:hAnsi="Times New Roman" w:cs="Times New Roman" w:hint="eastAsia"/>
          <w:color w:val="000000"/>
          <w:kern w:val="0"/>
          <w:sz w:val="32"/>
          <w:szCs w:val="32"/>
        </w:rPr>
        <w:t>治疗方案出现，循</w:t>
      </w:r>
      <w:proofErr w:type="gramStart"/>
      <w:r w:rsidR="00415AB8" w:rsidRPr="00E421F6">
        <w:rPr>
          <w:rFonts w:ascii="仿宋_GB2312" w:eastAsia="仿宋_GB2312" w:hAnsi="Times New Roman" w:cs="Times New Roman" w:hint="eastAsia"/>
          <w:color w:val="000000"/>
          <w:kern w:val="0"/>
          <w:sz w:val="32"/>
          <w:szCs w:val="32"/>
        </w:rPr>
        <w:t>证依据</w:t>
      </w:r>
      <w:proofErr w:type="gramEnd"/>
      <w:r w:rsidR="00415AB8" w:rsidRPr="00E421F6">
        <w:rPr>
          <w:rFonts w:ascii="仿宋_GB2312" w:eastAsia="仿宋_GB2312" w:hAnsi="Times New Roman" w:cs="Times New Roman" w:hint="eastAsia"/>
          <w:color w:val="000000"/>
          <w:kern w:val="0"/>
          <w:sz w:val="32"/>
          <w:szCs w:val="32"/>
        </w:rPr>
        <w:t>更新很快，</w:t>
      </w:r>
      <w:r w:rsidR="00BE1913" w:rsidRPr="00E421F6">
        <w:rPr>
          <w:rFonts w:ascii="仿宋_GB2312" w:eastAsia="仿宋_GB2312" w:hAnsi="Times New Roman" w:cs="Times New Roman" w:hint="eastAsia"/>
          <w:color w:val="000000"/>
          <w:kern w:val="0"/>
          <w:sz w:val="32"/>
          <w:szCs w:val="32"/>
        </w:rPr>
        <w:t>临床实践中的治疗理念也在不断发展，</w:t>
      </w:r>
      <w:r w:rsidR="00415AB8" w:rsidRPr="00E421F6">
        <w:rPr>
          <w:rFonts w:ascii="仿宋_GB2312" w:eastAsia="仿宋_GB2312" w:hAnsi="Times New Roman" w:cs="Times New Roman" w:hint="eastAsia"/>
          <w:color w:val="000000"/>
          <w:kern w:val="0"/>
          <w:sz w:val="32"/>
          <w:szCs w:val="32"/>
        </w:rPr>
        <w:t>因此建议</w:t>
      </w:r>
      <w:r w:rsidR="00C51298" w:rsidRPr="00E421F6">
        <w:rPr>
          <w:rFonts w:ascii="仿宋_GB2312" w:eastAsia="仿宋_GB2312" w:hAnsi="Times New Roman" w:cs="Times New Roman" w:hint="eastAsia"/>
          <w:color w:val="000000"/>
          <w:kern w:val="0"/>
          <w:sz w:val="32"/>
          <w:szCs w:val="32"/>
        </w:rPr>
        <w:t>在开展关键性注册研究前就对照治疗的选择与</w:t>
      </w:r>
      <w:proofErr w:type="gramStart"/>
      <w:r w:rsidR="00C51298" w:rsidRPr="00E421F6">
        <w:rPr>
          <w:rFonts w:ascii="仿宋_GB2312" w:eastAsia="仿宋_GB2312" w:hAnsi="Times New Roman" w:cs="Times New Roman" w:hint="eastAsia"/>
          <w:color w:val="000000"/>
          <w:kern w:val="0"/>
          <w:sz w:val="32"/>
          <w:szCs w:val="32"/>
        </w:rPr>
        <w:t>药审中心</w:t>
      </w:r>
      <w:proofErr w:type="gramEnd"/>
      <w:r w:rsidR="00C51298" w:rsidRPr="00E421F6">
        <w:rPr>
          <w:rFonts w:ascii="仿宋_GB2312" w:eastAsia="仿宋_GB2312" w:hAnsi="Times New Roman" w:cs="Times New Roman" w:hint="eastAsia"/>
          <w:color w:val="000000"/>
          <w:kern w:val="0"/>
          <w:sz w:val="32"/>
          <w:szCs w:val="32"/>
        </w:rPr>
        <w:t>进行沟通交流。</w:t>
      </w:r>
    </w:p>
    <w:p w:rsidR="00157206" w:rsidRPr="00E421F6" w:rsidRDefault="00CB4E5A"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境内外CLL适应症的药物可获得性存在差异，标准治疗方案和推荐治疗方案</w:t>
      </w:r>
      <w:r w:rsidR="00797190" w:rsidRPr="00E421F6">
        <w:rPr>
          <w:rFonts w:ascii="仿宋_GB2312" w:eastAsia="仿宋_GB2312" w:hAnsi="Times New Roman" w:cs="Times New Roman" w:hint="eastAsia"/>
          <w:color w:val="000000"/>
          <w:kern w:val="0"/>
          <w:sz w:val="32"/>
          <w:szCs w:val="32"/>
        </w:rPr>
        <w:t>不尽相同，在开展国际多中心临床试验时应该关注协调，积极与</w:t>
      </w:r>
      <w:proofErr w:type="gramStart"/>
      <w:r w:rsidR="00797190" w:rsidRPr="00E421F6">
        <w:rPr>
          <w:rFonts w:ascii="仿宋_GB2312" w:eastAsia="仿宋_GB2312" w:hAnsi="Times New Roman" w:cs="Times New Roman" w:hint="eastAsia"/>
          <w:color w:val="000000"/>
          <w:kern w:val="0"/>
          <w:sz w:val="32"/>
          <w:szCs w:val="32"/>
        </w:rPr>
        <w:t>药审中心</w:t>
      </w:r>
      <w:proofErr w:type="gramEnd"/>
      <w:r w:rsidR="00797190" w:rsidRPr="00E421F6">
        <w:rPr>
          <w:rFonts w:ascii="仿宋_GB2312" w:eastAsia="仿宋_GB2312" w:hAnsi="Times New Roman" w:cs="Times New Roman" w:hint="eastAsia"/>
          <w:color w:val="000000"/>
          <w:kern w:val="0"/>
          <w:sz w:val="32"/>
          <w:szCs w:val="32"/>
        </w:rPr>
        <w:t>进行沟通交流。</w:t>
      </w:r>
    </w:p>
    <w:p w:rsidR="0022333D" w:rsidRPr="0022333D" w:rsidRDefault="00E421F6" w:rsidP="0022333D">
      <w:pPr>
        <w:pStyle w:val="2"/>
        <w:spacing w:before="0" w:after="0" w:line="360" w:lineRule="auto"/>
        <w:rPr>
          <w:sz w:val="24"/>
        </w:rPr>
      </w:pPr>
      <w:bookmarkStart w:id="22" w:name="_Toc104979996"/>
      <w:r>
        <w:rPr>
          <w:rFonts w:ascii="楷体_GB2312" w:eastAsia="楷体_GB2312" w:hint="eastAsia"/>
          <w:b w:val="0"/>
          <w:szCs w:val="32"/>
        </w:rPr>
        <w:t>（四）</w:t>
      </w:r>
      <w:r w:rsidR="0022333D" w:rsidRPr="00E421F6">
        <w:rPr>
          <w:rFonts w:ascii="楷体_GB2312" w:eastAsia="楷体_GB2312" w:hint="eastAsia"/>
          <w:b w:val="0"/>
          <w:szCs w:val="32"/>
        </w:rPr>
        <w:t>研究终点</w:t>
      </w:r>
      <w:bookmarkEnd w:id="22"/>
    </w:p>
    <w:p w:rsidR="001F28C0" w:rsidRPr="00E421F6" w:rsidRDefault="003E3F10"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CLL的主要治疗目标包括症状改善、持久的疾病缓解和延长生存时间</w:t>
      </w:r>
      <w:r w:rsidR="0071139D" w:rsidRPr="00EC073B">
        <w:rPr>
          <w:rFonts w:ascii="仿宋_GB2312" w:eastAsia="仿宋_GB2312" w:hAnsi="Times New Roman" w:cs="Times New Roman" w:hint="eastAsia"/>
          <w:color w:val="000000"/>
          <w:kern w:val="0"/>
          <w:sz w:val="32"/>
          <w:szCs w:val="32"/>
          <w:vertAlign w:val="superscript"/>
        </w:rPr>
        <w:t>[2]</w:t>
      </w:r>
      <w:r w:rsidRPr="00E421F6">
        <w:rPr>
          <w:rFonts w:ascii="仿宋_GB2312" w:eastAsia="仿宋_GB2312" w:hAnsi="Times New Roman" w:cs="Times New Roman" w:hint="eastAsia"/>
          <w:color w:val="000000"/>
          <w:kern w:val="0"/>
          <w:sz w:val="32"/>
          <w:szCs w:val="32"/>
        </w:rPr>
        <w:t>，在确定临床试验的主要终点时应结合目标人群的特征、药物的作用机制和安全性特征选择既符合治疗目标又能体现药物治疗优势的指标作为主要研究终点。无论直接的治疗目标是什么，都不应该以牺牲患者的生存时间为代价，并且应该在延长生存时间时兼顾患者生活质量的</w:t>
      </w:r>
      <w:r w:rsidR="00091696" w:rsidRPr="00E421F6">
        <w:rPr>
          <w:rFonts w:ascii="仿宋_GB2312" w:eastAsia="仿宋_GB2312" w:hAnsi="Times New Roman" w:cs="Times New Roman" w:hint="eastAsia"/>
          <w:color w:val="000000"/>
          <w:kern w:val="0"/>
          <w:sz w:val="32"/>
          <w:szCs w:val="32"/>
        </w:rPr>
        <w:t>保持</w:t>
      </w:r>
      <w:r w:rsidRPr="00E421F6">
        <w:rPr>
          <w:rFonts w:ascii="仿宋_GB2312" w:eastAsia="仿宋_GB2312" w:hAnsi="Times New Roman" w:cs="Times New Roman" w:hint="eastAsia"/>
          <w:color w:val="000000"/>
          <w:kern w:val="0"/>
          <w:sz w:val="32"/>
          <w:szCs w:val="32"/>
        </w:rPr>
        <w:t>或改善。</w:t>
      </w:r>
    </w:p>
    <w:p w:rsidR="00404E5A" w:rsidRPr="00E421F6" w:rsidRDefault="00184C2D"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CLL是一种惰性疾病，按照CLL-IPI的危险分层，即使高危人群5年生存率也达到63.6%</w:t>
      </w:r>
      <w:r w:rsidRPr="00EC073B">
        <w:rPr>
          <w:rFonts w:ascii="仿宋_GB2312" w:eastAsia="仿宋_GB2312" w:hAnsi="Times New Roman" w:cs="Times New Roman" w:hint="eastAsia"/>
          <w:color w:val="000000"/>
          <w:kern w:val="0"/>
          <w:sz w:val="32"/>
          <w:szCs w:val="32"/>
          <w:vertAlign w:val="superscript"/>
        </w:rPr>
        <w:t>[3]</w:t>
      </w:r>
      <w:r w:rsidRPr="00E421F6">
        <w:rPr>
          <w:rFonts w:ascii="仿宋_GB2312" w:eastAsia="仿宋_GB2312" w:hAnsi="Times New Roman" w:cs="Times New Roman" w:hint="eastAsia"/>
          <w:color w:val="000000"/>
          <w:kern w:val="0"/>
          <w:sz w:val="32"/>
          <w:szCs w:val="32"/>
        </w:rPr>
        <w:t>，</w:t>
      </w:r>
      <w:r w:rsidR="00D03351" w:rsidRPr="00E421F6">
        <w:rPr>
          <w:rFonts w:ascii="仿宋_GB2312" w:eastAsia="仿宋_GB2312" w:hAnsi="Times New Roman" w:cs="Times New Roman" w:hint="eastAsia"/>
          <w:color w:val="000000"/>
          <w:kern w:val="0"/>
          <w:sz w:val="32"/>
          <w:szCs w:val="32"/>
        </w:rPr>
        <w:t>在以OS作为主要疗效终点不具有可操作性时，以替代终点PFS作为主要疗效终点</w:t>
      </w:r>
      <w:r w:rsidR="005B6A82" w:rsidRPr="00E421F6">
        <w:rPr>
          <w:rFonts w:ascii="仿宋_GB2312" w:eastAsia="仿宋_GB2312" w:hAnsi="Times New Roman" w:cs="Times New Roman" w:hint="eastAsia"/>
          <w:color w:val="000000"/>
          <w:kern w:val="0"/>
          <w:sz w:val="32"/>
          <w:szCs w:val="32"/>
        </w:rPr>
        <w:lastRenderedPageBreak/>
        <w:t>支持常规批准</w:t>
      </w:r>
      <w:r w:rsidR="00D03351" w:rsidRPr="00E421F6">
        <w:rPr>
          <w:rFonts w:ascii="仿宋_GB2312" w:eastAsia="仿宋_GB2312" w:hAnsi="Times New Roman" w:cs="Times New Roman" w:hint="eastAsia"/>
          <w:color w:val="000000"/>
          <w:kern w:val="0"/>
          <w:sz w:val="32"/>
          <w:szCs w:val="32"/>
        </w:rPr>
        <w:t>是可以接受的</w:t>
      </w:r>
      <w:r w:rsidR="005B6A82" w:rsidRPr="00EC073B">
        <w:rPr>
          <w:rFonts w:ascii="仿宋_GB2312" w:eastAsia="仿宋_GB2312" w:hAnsi="Times New Roman" w:cs="Times New Roman" w:hint="eastAsia"/>
          <w:color w:val="000000"/>
          <w:kern w:val="0"/>
          <w:sz w:val="32"/>
          <w:szCs w:val="32"/>
          <w:vertAlign w:val="superscript"/>
        </w:rPr>
        <w:t>[10]</w:t>
      </w:r>
      <w:r w:rsidR="00404E5A" w:rsidRPr="00E421F6">
        <w:rPr>
          <w:rFonts w:ascii="仿宋_GB2312" w:eastAsia="仿宋_GB2312" w:hAnsi="Times New Roman" w:cs="Times New Roman" w:hint="eastAsia"/>
          <w:color w:val="000000"/>
          <w:kern w:val="0"/>
          <w:sz w:val="32"/>
          <w:szCs w:val="32"/>
        </w:rPr>
        <w:t>。在以PFS主要疗效终点的主要分析结果作为上市许可申请的关键性数据时，同期的OS数据应该显示出PFS获益与OS改善之间存在良好的相关性。</w:t>
      </w:r>
      <w:r w:rsidR="008E07AA" w:rsidRPr="00E421F6">
        <w:rPr>
          <w:rFonts w:ascii="仿宋_GB2312" w:eastAsia="仿宋_GB2312" w:hAnsi="Times New Roman" w:cs="Times New Roman" w:hint="eastAsia"/>
          <w:color w:val="000000"/>
          <w:kern w:val="0"/>
          <w:sz w:val="32"/>
          <w:szCs w:val="32"/>
        </w:rPr>
        <w:t>在完成主要疗效终点的主要分析后，应继续对PFS、OS等时间相关指标进行长期随访</w:t>
      </w:r>
      <w:r w:rsidR="00B618F1" w:rsidRPr="00E421F6">
        <w:rPr>
          <w:rFonts w:ascii="仿宋_GB2312" w:eastAsia="仿宋_GB2312" w:hAnsi="Times New Roman" w:cs="Times New Roman" w:hint="eastAsia"/>
          <w:color w:val="000000"/>
          <w:kern w:val="0"/>
          <w:sz w:val="32"/>
          <w:szCs w:val="32"/>
        </w:rPr>
        <w:t>，</w:t>
      </w:r>
      <w:r w:rsidR="00D24592" w:rsidRPr="00E421F6">
        <w:rPr>
          <w:rFonts w:ascii="仿宋_GB2312" w:eastAsia="仿宋_GB2312" w:hAnsi="Times New Roman" w:cs="Times New Roman" w:hint="eastAsia"/>
          <w:color w:val="000000"/>
          <w:kern w:val="0"/>
          <w:sz w:val="32"/>
          <w:szCs w:val="32"/>
        </w:rPr>
        <w:t>作为整体获益风险评价的依据</w:t>
      </w:r>
      <w:r w:rsidR="008E07AA" w:rsidRPr="00E421F6">
        <w:rPr>
          <w:rFonts w:ascii="仿宋_GB2312" w:eastAsia="仿宋_GB2312" w:hAnsi="Times New Roman" w:cs="Times New Roman" w:hint="eastAsia"/>
          <w:color w:val="000000"/>
          <w:kern w:val="0"/>
          <w:sz w:val="32"/>
          <w:szCs w:val="32"/>
        </w:rPr>
        <w:t>。</w:t>
      </w:r>
      <w:r w:rsidR="00A5189B" w:rsidRPr="00E421F6">
        <w:rPr>
          <w:rFonts w:ascii="仿宋_GB2312" w:eastAsia="仿宋_GB2312" w:hAnsi="Times New Roman" w:cs="Times New Roman" w:hint="eastAsia"/>
          <w:color w:val="000000"/>
          <w:kern w:val="0"/>
          <w:sz w:val="32"/>
          <w:szCs w:val="32"/>
        </w:rPr>
        <w:t>在对OS数据进行分析时，</w:t>
      </w:r>
      <w:r w:rsidR="007F501A" w:rsidRPr="00E421F6">
        <w:rPr>
          <w:rFonts w:ascii="仿宋_GB2312" w:eastAsia="仿宋_GB2312" w:hAnsi="Times New Roman" w:cs="Times New Roman" w:hint="eastAsia"/>
          <w:color w:val="000000"/>
          <w:kern w:val="0"/>
          <w:sz w:val="32"/>
          <w:szCs w:val="32"/>
        </w:rPr>
        <w:t>应考虑死亡原因尤其非CLL相关死亡对结果的影响，区分治疗毒性导致的死亡和患者衰老引起的死亡，必要时可采用年龄校正后的预期寿命等指标对死亡数据进行</w:t>
      </w:r>
      <w:r w:rsidR="00E33493" w:rsidRPr="00E421F6">
        <w:rPr>
          <w:rFonts w:ascii="仿宋_GB2312" w:eastAsia="仿宋_GB2312" w:hAnsi="Times New Roman" w:cs="Times New Roman" w:hint="eastAsia"/>
          <w:color w:val="000000"/>
          <w:kern w:val="0"/>
          <w:sz w:val="32"/>
          <w:szCs w:val="32"/>
        </w:rPr>
        <w:t>敏感性分析。</w:t>
      </w:r>
      <w:r w:rsidR="00330070" w:rsidRPr="00E421F6">
        <w:rPr>
          <w:rFonts w:ascii="仿宋_GB2312" w:eastAsia="仿宋_GB2312" w:hAnsi="Times New Roman" w:cs="Times New Roman" w:hint="eastAsia"/>
          <w:color w:val="000000"/>
          <w:kern w:val="0"/>
          <w:sz w:val="32"/>
          <w:szCs w:val="32"/>
        </w:rPr>
        <w:t>应该提供独立疗效评价</w:t>
      </w:r>
      <w:proofErr w:type="gramStart"/>
      <w:r w:rsidR="00330070" w:rsidRPr="00E421F6">
        <w:rPr>
          <w:rFonts w:ascii="仿宋_GB2312" w:eastAsia="仿宋_GB2312" w:hAnsi="Times New Roman" w:cs="Times New Roman" w:hint="eastAsia"/>
          <w:color w:val="000000"/>
          <w:kern w:val="0"/>
          <w:sz w:val="32"/>
          <w:szCs w:val="32"/>
        </w:rPr>
        <w:t>委员会盲态下</w:t>
      </w:r>
      <w:proofErr w:type="gramEnd"/>
      <w:r w:rsidR="00330070" w:rsidRPr="00E421F6">
        <w:rPr>
          <w:rFonts w:ascii="仿宋_GB2312" w:eastAsia="仿宋_GB2312" w:hAnsi="Times New Roman" w:cs="Times New Roman" w:hint="eastAsia"/>
          <w:color w:val="000000"/>
          <w:kern w:val="0"/>
          <w:sz w:val="32"/>
          <w:szCs w:val="32"/>
        </w:rPr>
        <w:t>评估的</w:t>
      </w:r>
      <w:r w:rsidR="00CC40B0" w:rsidRPr="00E421F6">
        <w:rPr>
          <w:rFonts w:ascii="仿宋_GB2312" w:eastAsia="仿宋_GB2312" w:hAnsi="Times New Roman" w:cs="Times New Roman" w:hint="eastAsia"/>
          <w:color w:val="000000"/>
          <w:kern w:val="0"/>
          <w:sz w:val="32"/>
          <w:szCs w:val="32"/>
        </w:rPr>
        <w:t>ORR、PFS结果，与研究者评估结果相互支持。</w:t>
      </w:r>
    </w:p>
    <w:p w:rsidR="009B4035" w:rsidRPr="00E421F6" w:rsidRDefault="009B4035"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关键性注册研究须按照本技术指导原则“4.3生活质量评价及患者报告结局”中的要求，对患者的QOL进行评估，作为获益风险评价的一部分。</w:t>
      </w:r>
      <w:r w:rsidR="0071139D" w:rsidRPr="00E421F6">
        <w:rPr>
          <w:rFonts w:ascii="仿宋_GB2312" w:eastAsia="仿宋_GB2312" w:hAnsi="Times New Roman" w:cs="Times New Roman" w:hint="eastAsia"/>
          <w:color w:val="000000"/>
          <w:kern w:val="0"/>
          <w:sz w:val="32"/>
          <w:szCs w:val="32"/>
        </w:rPr>
        <w:t>无质量或低质量的生命延续是不具有临床价值的。</w:t>
      </w:r>
    </w:p>
    <w:p w:rsidR="005B2698" w:rsidRPr="00E421F6" w:rsidRDefault="00FB0CD7"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近年不断涌现新药物和新方案，CLL患者</w:t>
      </w:r>
      <w:r w:rsidR="001C7132" w:rsidRPr="00E421F6">
        <w:rPr>
          <w:rFonts w:ascii="仿宋_GB2312" w:eastAsia="仿宋_GB2312" w:hAnsi="Times New Roman" w:cs="Times New Roman" w:hint="eastAsia"/>
          <w:color w:val="000000"/>
          <w:kern w:val="0"/>
          <w:sz w:val="32"/>
          <w:szCs w:val="32"/>
        </w:rPr>
        <w:t>的</w:t>
      </w:r>
      <w:r w:rsidRPr="00E421F6">
        <w:rPr>
          <w:rFonts w:ascii="仿宋_GB2312" w:eastAsia="仿宋_GB2312" w:hAnsi="Times New Roman" w:cs="Times New Roman" w:hint="eastAsia"/>
          <w:color w:val="000000"/>
          <w:kern w:val="0"/>
          <w:sz w:val="32"/>
          <w:szCs w:val="32"/>
        </w:rPr>
        <w:t>PFS显著</w:t>
      </w:r>
      <w:r w:rsidR="001C7132" w:rsidRPr="00E421F6">
        <w:rPr>
          <w:rFonts w:ascii="仿宋_GB2312" w:eastAsia="仿宋_GB2312" w:hAnsi="Times New Roman" w:cs="Times New Roman" w:hint="eastAsia"/>
          <w:color w:val="000000"/>
          <w:kern w:val="0"/>
          <w:sz w:val="32"/>
          <w:szCs w:val="32"/>
        </w:rPr>
        <w:t>改善</w:t>
      </w:r>
      <w:r w:rsidRPr="00E421F6">
        <w:rPr>
          <w:rFonts w:ascii="仿宋_GB2312" w:eastAsia="仿宋_GB2312" w:hAnsi="Times New Roman" w:cs="Times New Roman" w:hint="eastAsia"/>
          <w:color w:val="000000"/>
          <w:kern w:val="0"/>
          <w:sz w:val="32"/>
          <w:szCs w:val="32"/>
        </w:rPr>
        <w:t>，</w:t>
      </w:r>
      <w:r w:rsidR="001C7132" w:rsidRPr="00E421F6">
        <w:rPr>
          <w:rFonts w:ascii="仿宋_GB2312" w:eastAsia="仿宋_GB2312" w:hAnsi="Times New Roman" w:cs="Times New Roman" w:hint="eastAsia"/>
          <w:color w:val="000000"/>
          <w:kern w:val="0"/>
          <w:sz w:val="32"/>
          <w:szCs w:val="32"/>
        </w:rPr>
        <w:t>即使以PFS作为主要疗效终点的临床研发周期也被明显延长，</w:t>
      </w:r>
      <w:r w:rsidRPr="00E421F6">
        <w:rPr>
          <w:rFonts w:ascii="仿宋_GB2312" w:eastAsia="仿宋_GB2312" w:hAnsi="Times New Roman" w:cs="Times New Roman" w:hint="eastAsia"/>
          <w:color w:val="000000"/>
          <w:kern w:val="0"/>
          <w:sz w:val="32"/>
          <w:szCs w:val="32"/>
        </w:rPr>
        <w:t>给新药研发带来了不小的挑战。</w:t>
      </w:r>
      <w:r w:rsidR="00E5031D" w:rsidRPr="00E421F6">
        <w:rPr>
          <w:rFonts w:ascii="仿宋_GB2312" w:eastAsia="仿宋_GB2312" w:hAnsi="Times New Roman" w:cs="Times New Roman" w:hint="eastAsia"/>
          <w:color w:val="000000"/>
          <w:kern w:val="0"/>
          <w:sz w:val="32"/>
          <w:szCs w:val="32"/>
        </w:rPr>
        <w:t>鼓励</w:t>
      </w:r>
      <w:r w:rsidR="001C7132" w:rsidRPr="00E421F6">
        <w:rPr>
          <w:rFonts w:ascii="仿宋_GB2312" w:eastAsia="仿宋_GB2312" w:hAnsi="Times New Roman" w:cs="Times New Roman" w:hint="eastAsia"/>
          <w:color w:val="000000"/>
          <w:kern w:val="0"/>
          <w:sz w:val="32"/>
          <w:szCs w:val="32"/>
        </w:rPr>
        <w:t>研发机构</w:t>
      </w:r>
      <w:r w:rsidR="005B6A82" w:rsidRPr="00E421F6">
        <w:rPr>
          <w:rFonts w:ascii="仿宋_GB2312" w:eastAsia="仿宋_GB2312" w:hAnsi="Times New Roman" w:cs="Times New Roman" w:hint="eastAsia"/>
          <w:color w:val="000000"/>
          <w:kern w:val="0"/>
          <w:sz w:val="32"/>
          <w:szCs w:val="32"/>
        </w:rPr>
        <w:t>从以下几个方向</w:t>
      </w:r>
      <w:r w:rsidR="00245FB6" w:rsidRPr="00E421F6">
        <w:rPr>
          <w:rFonts w:ascii="仿宋_GB2312" w:eastAsia="仿宋_GB2312" w:hAnsi="Times New Roman" w:cs="Times New Roman" w:hint="eastAsia"/>
          <w:color w:val="000000"/>
          <w:kern w:val="0"/>
          <w:sz w:val="32"/>
          <w:szCs w:val="32"/>
        </w:rPr>
        <w:t>加强探索：1、优势人群挖掘。探索创新药在对现有治疗手段反应不佳</w:t>
      </w:r>
      <w:r w:rsidR="00FE4394" w:rsidRPr="00E421F6">
        <w:rPr>
          <w:rFonts w:ascii="仿宋_GB2312" w:eastAsia="仿宋_GB2312" w:hAnsi="Times New Roman" w:cs="Times New Roman" w:hint="eastAsia"/>
          <w:color w:val="000000"/>
          <w:kern w:val="0"/>
          <w:sz w:val="32"/>
          <w:szCs w:val="32"/>
        </w:rPr>
        <w:t>者中是否有突出优势</w:t>
      </w:r>
      <w:r w:rsidR="00245FB6" w:rsidRPr="00E421F6">
        <w:rPr>
          <w:rFonts w:ascii="仿宋_GB2312" w:eastAsia="仿宋_GB2312" w:hAnsi="Times New Roman" w:cs="Times New Roman" w:hint="eastAsia"/>
          <w:color w:val="000000"/>
          <w:kern w:val="0"/>
          <w:sz w:val="32"/>
          <w:szCs w:val="32"/>
        </w:rPr>
        <w:t>，例如IGHV</w:t>
      </w:r>
      <w:r w:rsidR="000B38F0" w:rsidRPr="00E421F6">
        <w:rPr>
          <w:rFonts w:ascii="仿宋_GB2312" w:eastAsia="仿宋_GB2312" w:hAnsi="Times New Roman" w:cs="Times New Roman" w:hint="eastAsia"/>
          <w:color w:val="000000"/>
          <w:kern w:val="0"/>
          <w:sz w:val="32"/>
          <w:szCs w:val="32"/>
        </w:rPr>
        <w:t>未</w:t>
      </w:r>
      <w:r w:rsidR="00245FB6" w:rsidRPr="00E421F6">
        <w:rPr>
          <w:rFonts w:ascii="仿宋_GB2312" w:eastAsia="仿宋_GB2312" w:hAnsi="Times New Roman" w:cs="Times New Roman" w:hint="eastAsia"/>
          <w:color w:val="000000"/>
          <w:kern w:val="0"/>
          <w:sz w:val="32"/>
          <w:szCs w:val="32"/>
        </w:rPr>
        <w:t>突变</w:t>
      </w:r>
      <w:r w:rsidR="00FE4394" w:rsidRPr="00E421F6">
        <w:rPr>
          <w:rFonts w:ascii="仿宋_GB2312" w:eastAsia="仿宋_GB2312" w:hAnsi="Times New Roman" w:cs="Times New Roman" w:hint="eastAsia"/>
          <w:color w:val="000000"/>
          <w:kern w:val="0"/>
          <w:sz w:val="32"/>
          <w:szCs w:val="32"/>
        </w:rPr>
        <w:t>和CLL-IPI危险分层为极高危都是独立的预后因素，意味着更短的PFS和OS；探索可进行人群富集的生物标记物，打破常规的诊断局限，扩大目标适应症人群缩短研发周期。2、</w:t>
      </w:r>
      <w:r w:rsidR="009B4035" w:rsidRPr="00E421F6">
        <w:rPr>
          <w:rFonts w:ascii="仿宋_GB2312" w:eastAsia="仿宋_GB2312" w:hAnsi="Times New Roman" w:cs="Times New Roman" w:hint="eastAsia"/>
          <w:color w:val="000000"/>
          <w:kern w:val="0"/>
          <w:sz w:val="32"/>
          <w:szCs w:val="32"/>
        </w:rPr>
        <w:t>替</w:t>
      </w:r>
      <w:r w:rsidR="009B4035" w:rsidRPr="00E421F6">
        <w:rPr>
          <w:rFonts w:ascii="仿宋_GB2312" w:eastAsia="仿宋_GB2312" w:hAnsi="Times New Roman" w:cs="Times New Roman" w:hint="eastAsia"/>
          <w:color w:val="000000"/>
          <w:kern w:val="0"/>
          <w:sz w:val="32"/>
          <w:szCs w:val="32"/>
        </w:rPr>
        <w:lastRenderedPageBreak/>
        <w:t>代终点与临床终点</w:t>
      </w:r>
      <w:r w:rsidR="00752A00" w:rsidRPr="00E421F6">
        <w:rPr>
          <w:rFonts w:ascii="仿宋_GB2312" w:eastAsia="仿宋_GB2312" w:hAnsi="Times New Roman" w:cs="Times New Roman" w:hint="eastAsia"/>
          <w:color w:val="000000"/>
          <w:kern w:val="0"/>
          <w:sz w:val="32"/>
          <w:szCs w:val="32"/>
        </w:rPr>
        <w:t>的</w:t>
      </w:r>
      <w:r w:rsidR="009B4035" w:rsidRPr="00E421F6">
        <w:rPr>
          <w:rFonts w:ascii="仿宋_GB2312" w:eastAsia="仿宋_GB2312" w:hAnsi="Times New Roman" w:cs="Times New Roman" w:hint="eastAsia"/>
          <w:color w:val="000000"/>
          <w:kern w:val="0"/>
          <w:sz w:val="32"/>
          <w:szCs w:val="32"/>
        </w:rPr>
        <w:t>相关性研究。在探索研究阶段，积极</w:t>
      </w:r>
      <w:r w:rsidR="00752A00" w:rsidRPr="00E421F6">
        <w:rPr>
          <w:rFonts w:ascii="仿宋_GB2312" w:eastAsia="仿宋_GB2312" w:hAnsi="Times New Roman" w:cs="Times New Roman" w:hint="eastAsia"/>
          <w:color w:val="000000"/>
          <w:kern w:val="0"/>
          <w:sz w:val="32"/>
          <w:szCs w:val="32"/>
        </w:rPr>
        <w:t>发现可代表药物治疗优势的有效性指标，研究并验证该有效性指标成为与临床终点具有良好相关性的替代终点的可行性。3、</w:t>
      </w:r>
      <w:r w:rsidR="009B4035" w:rsidRPr="00E421F6">
        <w:rPr>
          <w:rFonts w:ascii="仿宋_GB2312" w:eastAsia="仿宋_GB2312" w:hAnsi="Times New Roman" w:cs="Times New Roman" w:hint="eastAsia"/>
          <w:color w:val="000000"/>
          <w:kern w:val="0"/>
          <w:sz w:val="32"/>
          <w:szCs w:val="32"/>
        </w:rPr>
        <w:t>突破传统治疗策略。</w:t>
      </w:r>
      <w:r w:rsidR="0071139D" w:rsidRPr="00E421F6">
        <w:rPr>
          <w:rFonts w:ascii="仿宋_GB2312" w:eastAsia="仿宋_GB2312" w:hAnsi="Times New Roman" w:cs="Times New Roman" w:hint="eastAsia"/>
          <w:color w:val="000000"/>
          <w:kern w:val="0"/>
          <w:sz w:val="32"/>
          <w:szCs w:val="32"/>
        </w:rPr>
        <w:t>对当前常规治疗策略无法</w:t>
      </w:r>
      <w:r w:rsidR="001C7132" w:rsidRPr="00E421F6">
        <w:rPr>
          <w:rFonts w:ascii="仿宋_GB2312" w:eastAsia="仿宋_GB2312" w:hAnsi="Times New Roman" w:cs="Times New Roman" w:hint="eastAsia"/>
          <w:color w:val="000000"/>
          <w:kern w:val="0"/>
          <w:sz w:val="32"/>
          <w:szCs w:val="32"/>
        </w:rPr>
        <w:t>满足</w:t>
      </w:r>
      <w:r w:rsidR="0071139D" w:rsidRPr="00E421F6">
        <w:rPr>
          <w:rFonts w:ascii="仿宋_GB2312" w:eastAsia="仿宋_GB2312" w:hAnsi="Times New Roman" w:cs="Times New Roman" w:hint="eastAsia"/>
          <w:color w:val="000000"/>
          <w:kern w:val="0"/>
          <w:sz w:val="32"/>
          <w:szCs w:val="32"/>
        </w:rPr>
        <w:t>的临床需求进行深入地剖析提出解决思路，</w:t>
      </w:r>
      <w:r w:rsidR="001C7132" w:rsidRPr="00E421F6">
        <w:rPr>
          <w:rFonts w:ascii="仿宋_GB2312" w:eastAsia="仿宋_GB2312" w:hAnsi="Times New Roman" w:cs="Times New Roman" w:hint="eastAsia"/>
          <w:color w:val="000000"/>
          <w:kern w:val="0"/>
          <w:sz w:val="32"/>
          <w:szCs w:val="32"/>
        </w:rPr>
        <w:t>并在新药临床研究中加以探索验证作为关键性注册研究的设计依据。</w:t>
      </w:r>
    </w:p>
    <w:p w:rsidR="003B771A" w:rsidRPr="00AB7583" w:rsidRDefault="00DE1D06" w:rsidP="00AB7583">
      <w:pPr>
        <w:pStyle w:val="1"/>
        <w:numPr>
          <w:ilvl w:val="255"/>
          <w:numId w:val="0"/>
        </w:numPr>
        <w:spacing w:before="200" w:after="200" w:line="360" w:lineRule="auto"/>
        <w:rPr>
          <w:rFonts w:ascii="Times New Roman" w:eastAsia="黑体" w:hAnsi="Times New Roman" w:cs="Times New Roman"/>
          <w:b w:val="0"/>
          <w:color w:val="000000"/>
          <w:kern w:val="0"/>
          <w:sz w:val="32"/>
          <w:szCs w:val="32"/>
        </w:rPr>
      </w:pPr>
      <w:bookmarkStart w:id="23" w:name="_Toc18209"/>
      <w:bookmarkStart w:id="24" w:name="_Toc24534"/>
      <w:bookmarkStart w:id="25" w:name="_Toc104979997"/>
      <w:r w:rsidRPr="00AB7583">
        <w:rPr>
          <w:rFonts w:ascii="Times New Roman" w:eastAsia="黑体" w:hAnsi="Times New Roman" w:cs="Times New Roman" w:hint="eastAsia"/>
          <w:b w:val="0"/>
          <w:color w:val="000000"/>
          <w:kern w:val="0"/>
          <w:sz w:val="32"/>
          <w:szCs w:val="32"/>
        </w:rPr>
        <w:t>六</w:t>
      </w:r>
      <w:r w:rsidR="003B771A" w:rsidRPr="00AB7583">
        <w:rPr>
          <w:rFonts w:ascii="Times New Roman" w:eastAsia="黑体" w:hAnsi="Times New Roman" w:cs="Times New Roman"/>
          <w:b w:val="0"/>
          <w:color w:val="000000"/>
          <w:kern w:val="0"/>
          <w:sz w:val="32"/>
          <w:szCs w:val="32"/>
        </w:rPr>
        <w:t>、</w:t>
      </w:r>
      <w:bookmarkEnd w:id="23"/>
      <w:bookmarkEnd w:id="24"/>
      <w:r w:rsidR="003B771A" w:rsidRPr="00AB7583">
        <w:rPr>
          <w:rFonts w:ascii="Times New Roman" w:eastAsia="黑体" w:hAnsi="Times New Roman" w:cs="Times New Roman" w:hint="eastAsia"/>
          <w:b w:val="0"/>
          <w:color w:val="000000"/>
          <w:kern w:val="0"/>
          <w:sz w:val="32"/>
          <w:szCs w:val="32"/>
        </w:rPr>
        <w:t>安全性评价</w:t>
      </w:r>
      <w:bookmarkEnd w:id="25"/>
    </w:p>
    <w:p w:rsidR="003B771A" w:rsidRPr="00E421F6" w:rsidRDefault="003B771A"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color w:val="000000"/>
          <w:kern w:val="0"/>
          <w:sz w:val="32"/>
          <w:szCs w:val="32"/>
        </w:rPr>
        <w:t>由于</w:t>
      </w:r>
      <w:r w:rsidRPr="00E421F6">
        <w:rPr>
          <w:rFonts w:ascii="仿宋_GB2312" w:eastAsia="仿宋_GB2312" w:hAnsi="Times New Roman" w:cs="Times New Roman" w:hint="eastAsia"/>
          <w:color w:val="000000"/>
          <w:kern w:val="0"/>
          <w:sz w:val="32"/>
          <w:szCs w:val="32"/>
        </w:rPr>
        <w:t>CLL患者多数因原发病</w:t>
      </w:r>
      <w:r w:rsidR="00602E82" w:rsidRPr="00E421F6">
        <w:rPr>
          <w:rFonts w:ascii="仿宋_GB2312" w:eastAsia="仿宋_GB2312" w:hAnsi="Times New Roman" w:cs="Times New Roman" w:hint="eastAsia"/>
          <w:color w:val="000000"/>
          <w:kern w:val="0"/>
          <w:sz w:val="32"/>
          <w:szCs w:val="32"/>
        </w:rPr>
        <w:t>影响存在</w:t>
      </w:r>
      <w:r w:rsidRPr="00E421F6">
        <w:rPr>
          <w:rFonts w:ascii="仿宋_GB2312" w:eastAsia="仿宋_GB2312" w:hAnsi="Times New Roman" w:cs="Times New Roman" w:hint="eastAsia"/>
          <w:color w:val="000000"/>
          <w:kern w:val="0"/>
          <w:sz w:val="32"/>
          <w:szCs w:val="32"/>
        </w:rPr>
        <w:t>血细胞降低，因此在</w:t>
      </w:r>
      <w:r w:rsidRPr="00E421F6">
        <w:rPr>
          <w:rFonts w:ascii="仿宋_GB2312" w:eastAsia="仿宋_GB2312" w:hAnsi="Times New Roman" w:cs="Times New Roman"/>
          <w:color w:val="000000"/>
          <w:kern w:val="0"/>
          <w:sz w:val="32"/>
          <w:szCs w:val="32"/>
        </w:rPr>
        <w:t>治疗期间发生外周血细胞下降，需分析其原因是治疗</w:t>
      </w:r>
      <w:r w:rsidR="003F5B1A" w:rsidRPr="00E421F6">
        <w:rPr>
          <w:rFonts w:ascii="仿宋_GB2312" w:eastAsia="仿宋_GB2312" w:hAnsi="Times New Roman" w:cs="Times New Roman" w:hint="eastAsia"/>
          <w:color w:val="000000"/>
          <w:kern w:val="0"/>
          <w:sz w:val="32"/>
          <w:szCs w:val="32"/>
        </w:rPr>
        <w:t>相关</w:t>
      </w:r>
      <w:r w:rsidRPr="00E421F6">
        <w:rPr>
          <w:rFonts w:ascii="仿宋_GB2312" w:eastAsia="仿宋_GB2312" w:hAnsi="Times New Roman" w:cs="Times New Roman"/>
          <w:color w:val="000000"/>
          <w:kern w:val="0"/>
          <w:sz w:val="32"/>
          <w:szCs w:val="32"/>
        </w:rPr>
        <w:t>的血液毒性还是疾病复发</w:t>
      </w:r>
      <w:r w:rsidRPr="00E421F6">
        <w:rPr>
          <w:rFonts w:ascii="仿宋_GB2312" w:eastAsia="仿宋_GB2312" w:hAnsi="Times New Roman" w:cs="Times New Roman" w:hint="eastAsia"/>
          <w:color w:val="000000"/>
          <w:kern w:val="0"/>
          <w:sz w:val="32"/>
          <w:szCs w:val="32"/>
        </w:rPr>
        <w:t>/进展，必要时应该进行骨髓穿刺或活检。临床试验中，在患者起始治疗前进行一次骨髓穿刺/活检，有助于对治疗期间原因不明的外周血细胞下降进行鉴别。</w:t>
      </w:r>
    </w:p>
    <w:p w:rsidR="003B771A" w:rsidRPr="00E421F6" w:rsidRDefault="003B771A"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由于多数CLL患者在临床试验的基线期即存在一定程度的外周血细胞计数降低，因此采用与其他</w:t>
      </w:r>
      <w:proofErr w:type="gramStart"/>
      <w:r w:rsidRPr="00E421F6">
        <w:rPr>
          <w:rFonts w:ascii="仿宋_GB2312" w:eastAsia="仿宋_GB2312" w:hAnsi="Times New Roman" w:cs="Times New Roman" w:hint="eastAsia"/>
          <w:color w:val="000000"/>
          <w:kern w:val="0"/>
          <w:sz w:val="32"/>
          <w:szCs w:val="32"/>
        </w:rPr>
        <w:t>瘤种相同</w:t>
      </w:r>
      <w:proofErr w:type="gramEnd"/>
      <w:r w:rsidRPr="00E421F6">
        <w:rPr>
          <w:rFonts w:ascii="仿宋_GB2312" w:eastAsia="仿宋_GB2312" w:hAnsi="Times New Roman" w:cs="Times New Roman" w:hint="eastAsia"/>
          <w:color w:val="000000"/>
          <w:kern w:val="0"/>
          <w:sz w:val="32"/>
          <w:szCs w:val="32"/>
        </w:rPr>
        <w:t>的血液系统毒性评价标准，可能会导致起始治疗时患者已经存在2-4级血液系统毒性。因此，针对CLL的特点，可以考虑采用</w:t>
      </w:r>
      <w:r w:rsidR="005467DB" w:rsidRPr="00E421F6">
        <w:rPr>
          <w:rFonts w:ascii="仿宋_GB2312" w:eastAsia="仿宋_GB2312" w:hAnsi="Times New Roman" w:cs="Times New Roman"/>
          <w:color w:val="000000"/>
          <w:kern w:val="0"/>
          <w:sz w:val="32"/>
          <w:szCs w:val="32"/>
        </w:rPr>
        <w:fldChar w:fldCharType="begin"/>
      </w:r>
      <w:r w:rsidRPr="00E421F6">
        <w:rPr>
          <w:rFonts w:ascii="仿宋_GB2312" w:eastAsia="仿宋_GB2312" w:hAnsi="Times New Roman" w:cs="Times New Roman" w:hint="eastAsia"/>
          <w:color w:val="000000"/>
          <w:kern w:val="0"/>
          <w:sz w:val="32"/>
          <w:szCs w:val="32"/>
        </w:rPr>
        <w:instrText>REF _Ref102781212 \h</w:instrText>
      </w:r>
      <w:r w:rsidR="00E421F6">
        <w:rPr>
          <w:rFonts w:ascii="仿宋_GB2312" w:eastAsia="仿宋_GB2312" w:hAnsi="Times New Roman" w:cs="Times New Roman"/>
          <w:color w:val="000000"/>
          <w:kern w:val="0"/>
          <w:sz w:val="32"/>
          <w:szCs w:val="32"/>
        </w:rPr>
        <w:instrText xml:space="preserve"> \* MERGEFORMAT </w:instrText>
      </w:r>
      <w:r w:rsidR="005467DB" w:rsidRPr="00E421F6">
        <w:rPr>
          <w:rFonts w:ascii="仿宋_GB2312" w:eastAsia="仿宋_GB2312" w:hAnsi="Times New Roman" w:cs="Times New Roman"/>
          <w:color w:val="000000"/>
          <w:kern w:val="0"/>
          <w:sz w:val="32"/>
          <w:szCs w:val="32"/>
        </w:rPr>
      </w:r>
      <w:r w:rsidR="005467DB" w:rsidRPr="00E421F6">
        <w:rPr>
          <w:rFonts w:ascii="仿宋_GB2312" w:eastAsia="仿宋_GB2312" w:hAnsi="Times New Roman" w:cs="Times New Roman"/>
          <w:color w:val="000000"/>
          <w:kern w:val="0"/>
          <w:sz w:val="32"/>
          <w:szCs w:val="32"/>
        </w:rPr>
        <w:fldChar w:fldCharType="separate"/>
      </w:r>
      <w:r w:rsidRPr="00E421F6">
        <w:rPr>
          <w:rFonts w:ascii="仿宋_GB2312" w:eastAsia="仿宋_GB2312" w:hAnsi="Times New Roman" w:cs="Times New Roman"/>
          <w:color w:val="000000"/>
          <w:kern w:val="0"/>
          <w:sz w:val="32"/>
          <w:szCs w:val="32"/>
        </w:rPr>
        <w:t>表1</w:t>
      </w:r>
      <w:r w:rsidR="005467DB" w:rsidRPr="00E421F6">
        <w:rPr>
          <w:rFonts w:ascii="仿宋_GB2312" w:eastAsia="仿宋_GB2312" w:hAnsi="Times New Roman" w:cs="Times New Roman"/>
          <w:color w:val="000000"/>
          <w:kern w:val="0"/>
          <w:sz w:val="32"/>
          <w:szCs w:val="32"/>
        </w:rPr>
        <w:fldChar w:fldCharType="end"/>
      </w:r>
      <w:r w:rsidRPr="00E421F6">
        <w:rPr>
          <w:rFonts w:ascii="仿宋_GB2312" w:eastAsia="仿宋_GB2312" w:hAnsi="Times New Roman" w:cs="Times New Roman"/>
          <w:color w:val="000000"/>
          <w:kern w:val="0"/>
          <w:sz w:val="32"/>
          <w:szCs w:val="32"/>
        </w:rPr>
        <w:t>所示的改良后血液系统毒性评级标准</w:t>
      </w:r>
      <w:r w:rsidRPr="00EC073B">
        <w:rPr>
          <w:rFonts w:ascii="仿宋_GB2312" w:eastAsia="仿宋_GB2312" w:hAnsi="Times New Roman" w:cs="Times New Roman" w:hint="eastAsia"/>
          <w:color w:val="000000"/>
          <w:kern w:val="0"/>
          <w:sz w:val="32"/>
          <w:szCs w:val="32"/>
          <w:vertAlign w:val="superscript"/>
        </w:rPr>
        <w:t>[1]</w:t>
      </w:r>
      <w:r w:rsidRPr="00E421F6">
        <w:rPr>
          <w:rFonts w:ascii="仿宋_GB2312" w:eastAsia="仿宋_GB2312" w:hAnsi="Times New Roman" w:cs="Times New Roman"/>
          <w:color w:val="000000"/>
          <w:kern w:val="0"/>
          <w:sz w:val="32"/>
          <w:szCs w:val="32"/>
        </w:rPr>
        <w:t>。</w:t>
      </w:r>
    </w:p>
    <w:p w:rsidR="003B771A" w:rsidRPr="00E421F6" w:rsidRDefault="003B771A" w:rsidP="00E421F6">
      <w:pPr>
        <w:spacing w:line="360" w:lineRule="auto"/>
        <w:ind w:firstLineChars="200" w:firstLine="640"/>
        <w:rPr>
          <w:rFonts w:ascii="仿宋_GB2312" w:eastAsia="仿宋_GB2312" w:hAnsi="Times New Roman" w:cs="Times New Roman"/>
          <w:color w:val="000000"/>
          <w:kern w:val="0"/>
          <w:sz w:val="32"/>
          <w:szCs w:val="32"/>
        </w:rPr>
      </w:pPr>
      <w:bookmarkStart w:id="26" w:name="_Ref102781212"/>
      <w:r w:rsidRPr="00E421F6">
        <w:rPr>
          <w:rFonts w:ascii="仿宋_GB2312" w:eastAsia="仿宋_GB2312" w:hAnsi="Times New Roman" w:cs="Times New Roman"/>
          <w:color w:val="000000"/>
          <w:kern w:val="0"/>
          <w:sz w:val="32"/>
          <w:szCs w:val="32"/>
        </w:rPr>
        <w:t>表</w:t>
      </w:r>
      <w:r w:rsidR="005467DB" w:rsidRPr="00E421F6">
        <w:rPr>
          <w:rFonts w:ascii="仿宋_GB2312" w:eastAsia="仿宋_GB2312" w:hAnsi="Times New Roman" w:cs="Times New Roman"/>
          <w:color w:val="000000"/>
          <w:kern w:val="0"/>
          <w:sz w:val="32"/>
          <w:szCs w:val="32"/>
        </w:rPr>
        <w:fldChar w:fldCharType="begin"/>
      </w:r>
      <w:r w:rsidRPr="00E421F6">
        <w:rPr>
          <w:rFonts w:ascii="仿宋_GB2312" w:eastAsia="仿宋_GB2312" w:hAnsi="Times New Roman" w:cs="Times New Roman"/>
          <w:color w:val="000000"/>
          <w:kern w:val="0"/>
          <w:sz w:val="32"/>
          <w:szCs w:val="32"/>
        </w:rPr>
        <w:instrText xml:space="preserve"> SEQ 表 \* ARABIC </w:instrText>
      </w:r>
      <w:r w:rsidR="005467DB" w:rsidRPr="00E421F6">
        <w:rPr>
          <w:rFonts w:ascii="仿宋_GB2312" w:eastAsia="仿宋_GB2312" w:hAnsi="Times New Roman" w:cs="Times New Roman"/>
          <w:color w:val="000000"/>
          <w:kern w:val="0"/>
          <w:sz w:val="32"/>
          <w:szCs w:val="32"/>
        </w:rPr>
        <w:fldChar w:fldCharType="separate"/>
      </w:r>
      <w:r w:rsidRPr="00E421F6">
        <w:rPr>
          <w:rFonts w:ascii="仿宋_GB2312" w:eastAsia="仿宋_GB2312" w:hAnsi="Times New Roman" w:cs="Times New Roman"/>
          <w:color w:val="000000"/>
          <w:kern w:val="0"/>
          <w:sz w:val="32"/>
          <w:szCs w:val="32"/>
        </w:rPr>
        <w:t>1</w:t>
      </w:r>
      <w:r w:rsidR="005467DB" w:rsidRPr="00E421F6">
        <w:rPr>
          <w:rFonts w:ascii="仿宋_GB2312" w:eastAsia="仿宋_GB2312" w:hAnsi="Times New Roman" w:cs="Times New Roman"/>
          <w:color w:val="000000"/>
          <w:kern w:val="0"/>
          <w:sz w:val="32"/>
          <w:szCs w:val="32"/>
        </w:rPr>
        <w:fldChar w:fldCharType="end"/>
      </w:r>
      <w:bookmarkEnd w:id="26"/>
      <w:r w:rsidRPr="00E421F6">
        <w:rPr>
          <w:rFonts w:ascii="仿宋_GB2312" w:eastAsia="仿宋_GB2312" w:hAnsi="Times New Roman" w:cs="Times New Roman"/>
          <w:color w:val="000000"/>
          <w:kern w:val="0"/>
          <w:sz w:val="32"/>
          <w:szCs w:val="32"/>
        </w:rPr>
        <w:t xml:space="preserve"> CLL临床研究中血液系统毒性的评级标准</w:t>
      </w:r>
    </w:p>
    <w:tbl>
      <w:tblPr>
        <w:tblStyle w:val="a8"/>
        <w:tblW w:w="0" w:type="auto"/>
        <w:tblLook w:val="04A0" w:firstRow="1" w:lastRow="0" w:firstColumn="1" w:lastColumn="0" w:noHBand="0" w:noVBand="1"/>
      </w:tblPr>
      <w:tblGrid>
        <w:gridCol w:w="1213"/>
        <w:gridCol w:w="4302"/>
        <w:gridCol w:w="2781"/>
      </w:tblGrid>
      <w:tr w:rsidR="003B771A" w:rsidRPr="005A0939" w:rsidTr="0066293F">
        <w:tc>
          <w:tcPr>
            <w:tcW w:w="1242"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分级*</w:t>
            </w:r>
          </w:p>
        </w:tc>
        <w:tc>
          <w:tcPr>
            <w:tcW w:w="4439"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血小板*或血红蛋白**最低值相对不良事件发生前的降低</w:t>
            </w:r>
            <w:r w:rsidRPr="005A0939">
              <w:rPr>
                <w:rFonts w:ascii="仿宋_GB2312" w:eastAsia="仿宋_GB2312" w:hAnsi="Times New Roman" w:cs="Times New Roman" w:hint="eastAsia"/>
                <w:color w:val="000000"/>
                <w:kern w:val="0"/>
                <w:sz w:val="32"/>
                <w:szCs w:val="32"/>
              </w:rPr>
              <w:lastRenderedPageBreak/>
              <w:t>程度，%</w:t>
            </w:r>
          </w:p>
        </w:tc>
        <w:tc>
          <w:tcPr>
            <w:tcW w:w="2841"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lastRenderedPageBreak/>
              <w:t>中性粒细胞绝对值§最低值（×</w:t>
            </w:r>
            <w:r w:rsidRPr="005A0939">
              <w:rPr>
                <w:rFonts w:ascii="仿宋_GB2312" w:eastAsia="仿宋_GB2312" w:hAnsi="Times New Roman" w:cs="Times New Roman" w:hint="eastAsia"/>
                <w:color w:val="000000"/>
                <w:kern w:val="0"/>
                <w:sz w:val="32"/>
                <w:szCs w:val="32"/>
              </w:rPr>
              <w:lastRenderedPageBreak/>
              <w:t>109/L）</w:t>
            </w:r>
          </w:p>
        </w:tc>
      </w:tr>
      <w:tr w:rsidR="003B771A" w:rsidRPr="005A0939" w:rsidTr="0066293F">
        <w:tc>
          <w:tcPr>
            <w:tcW w:w="1242"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lastRenderedPageBreak/>
              <w:t>0</w:t>
            </w:r>
          </w:p>
        </w:tc>
        <w:tc>
          <w:tcPr>
            <w:tcW w:w="4439"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无变化~10</w:t>
            </w:r>
          </w:p>
        </w:tc>
        <w:tc>
          <w:tcPr>
            <w:tcW w:w="2841"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≥2</w:t>
            </w:r>
          </w:p>
        </w:tc>
      </w:tr>
      <w:tr w:rsidR="003B771A" w:rsidRPr="005A0939" w:rsidTr="0066293F">
        <w:tc>
          <w:tcPr>
            <w:tcW w:w="1242"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1</w:t>
            </w:r>
          </w:p>
        </w:tc>
        <w:tc>
          <w:tcPr>
            <w:tcW w:w="4439"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11~24</w:t>
            </w:r>
          </w:p>
        </w:tc>
        <w:tc>
          <w:tcPr>
            <w:tcW w:w="2841"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≥1.5且＜2</w:t>
            </w:r>
          </w:p>
        </w:tc>
      </w:tr>
      <w:tr w:rsidR="003B771A" w:rsidRPr="005A0939" w:rsidTr="0066293F">
        <w:tc>
          <w:tcPr>
            <w:tcW w:w="1242"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2</w:t>
            </w:r>
          </w:p>
        </w:tc>
        <w:tc>
          <w:tcPr>
            <w:tcW w:w="4439"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25~49</w:t>
            </w:r>
          </w:p>
        </w:tc>
        <w:tc>
          <w:tcPr>
            <w:tcW w:w="2841"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≥1且＜1.5</w:t>
            </w:r>
          </w:p>
        </w:tc>
      </w:tr>
      <w:tr w:rsidR="003B771A" w:rsidRPr="005A0939" w:rsidTr="0066293F">
        <w:tc>
          <w:tcPr>
            <w:tcW w:w="1242"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3</w:t>
            </w:r>
          </w:p>
        </w:tc>
        <w:tc>
          <w:tcPr>
            <w:tcW w:w="4439"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50~74</w:t>
            </w:r>
          </w:p>
        </w:tc>
        <w:tc>
          <w:tcPr>
            <w:tcW w:w="2841"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≥0.5且＜1</w:t>
            </w:r>
          </w:p>
        </w:tc>
      </w:tr>
      <w:tr w:rsidR="003B771A" w:rsidRPr="005A0939" w:rsidTr="0066293F">
        <w:tc>
          <w:tcPr>
            <w:tcW w:w="1242"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4</w:t>
            </w:r>
          </w:p>
        </w:tc>
        <w:tc>
          <w:tcPr>
            <w:tcW w:w="4439"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≥75</w:t>
            </w:r>
          </w:p>
        </w:tc>
        <w:tc>
          <w:tcPr>
            <w:tcW w:w="2841"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＜0.5</w:t>
            </w:r>
          </w:p>
        </w:tc>
      </w:tr>
      <w:tr w:rsidR="003B771A" w:rsidRPr="005A0939" w:rsidTr="0066293F">
        <w:tc>
          <w:tcPr>
            <w:tcW w:w="1242" w:type="dxa"/>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5</w:t>
            </w:r>
          </w:p>
        </w:tc>
        <w:tc>
          <w:tcPr>
            <w:tcW w:w="7280" w:type="dxa"/>
            <w:gridSpan w:val="2"/>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无论降低程度或绝对值，导致死亡的毒性事件均为5级</w:t>
            </w:r>
          </w:p>
        </w:tc>
      </w:tr>
      <w:tr w:rsidR="003B771A" w:rsidRPr="005A0939" w:rsidTr="0066293F">
        <w:tc>
          <w:tcPr>
            <w:tcW w:w="8522" w:type="dxa"/>
            <w:gridSpan w:val="3"/>
          </w:tcPr>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血小板计数必须低于正常范围下限才能被评价为1~5级事件。除非治疗前和起始治疗后血小板计数持续＜20×109/L，否则，无论降低程度如何，治疗期间血小板计数降至＜20×109/L都被认为是重度或威胁生命的4级事件。</w:t>
            </w:r>
          </w:p>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**血红蛋白水平必须低于正常范围下限才能被评价为1~5级事件。采用输血前的数据作为参照或进行不良事件评级。</w:t>
            </w:r>
            <w:proofErr w:type="gramStart"/>
            <w:r w:rsidRPr="005A0939">
              <w:rPr>
                <w:rFonts w:ascii="仿宋_GB2312" w:eastAsia="仿宋_GB2312" w:hAnsi="Times New Roman" w:cs="Times New Roman" w:hint="eastAsia"/>
                <w:color w:val="000000"/>
                <w:kern w:val="0"/>
                <w:sz w:val="32"/>
                <w:szCs w:val="32"/>
              </w:rPr>
              <w:t>促红素</w:t>
            </w:r>
            <w:proofErr w:type="gramEnd"/>
            <w:r w:rsidRPr="005A0939">
              <w:rPr>
                <w:rFonts w:ascii="仿宋_GB2312" w:eastAsia="仿宋_GB2312" w:hAnsi="Times New Roman" w:cs="Times New Roman" w:hint="eastAsia"/>
                <w:color w:val="000000"/>
                <w:kern w:val="0"/>
                <w:sz w:val="32"/>
                <w:szCs w:val="32"/>
              </w:rPr>
              <w:t>的使用不影响毒性评级，但需要记录。</w:t>
            </w:r>
          </w:p>
          <w:p w:rsidR="003B771A" w:rsidRPr="005A0939" w:rsidRDefault="003B771A" w:rsidP="0066293F">
            <w:pPr>
              <w:rPr>
                <w:rFonts w:ascii="仿宋_GB2312" w:eastAsia="仿宋_GB2312" w:hAnsi="Times New Roman" w:cs="Times New Roman"/>
                <w:color w:val="000000"/>
                <w:kern w:val="0"/>
                <w:sz w:val="32"/>
                <w:szCs w:val="32"/>
              </w:rPr>
            </w:pPr>
            <w:r w:rsidRPr="005A0939">
              <w:rPr>
                <w:rFonts w:ascii="仿宋_GB2312" w:eastAsia="仿宋_GB2312" w:hAnsi="Times New Roman" w:cs="Times New Roman" w:hint="eastAsia"/>
                <w:color w:val="000000"/>
                <w:kern w:val="0"/>
                <w:sz w:val="32"/>
                <w:szCs w:val="32"/>
              </w:rPr>
              <w:t>§如果治疗前和起始治疗后中性粒细胞绝对值持续＜1×109/L，则该患者无法进行中性粒细胞毒性分级。粒细胞集落刺激因子的使用不影响毒性评级，但需要记录。</w:t>
            </w:r>
          </w:p>
        </w:tc>
      </w:tr>
    </w:tbl>
    <w:p w:rsidR="003B771A" w:rsidRPr="00E421F6" w:rsidRDefault="003B771A"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color w:val="000000"/>
          <w:kern w:val="0"/>
          <w:sz w:val="32"/>
          <w:szCs w:val="32"/>
        </w:rPr>
        <w:t>非血液系统毒性的评级与其他</w:t>
      </w:r>
      <w:proofErr w:type="gramStart"/>
      <w:r w:rsidRPr="00E421F6">
        <w:rPr>
          <w:rFonts w:ascii="仿宋_GB2312" w:eastAsia="仿宋_GB2312" w:hAnsi="Times New Roman" w:cs="Times New Roman"/>
          <w:color w:val="000000"/>
          <w:kern w:val="0"/>
          <w:sz w:val="32"/>
          <w:szCs w:val="32"/>
        </w:rPr>
        <w:t>瘤种采用</w:t>
      </w:r>
      <w:proofErr w:type="gramEnd"/>
      <w:r w:rsidRPr="00E421F6">
        <w:rPr>
          <w:rFonts w:ascii="仿宋_GB2312" w:eastAsia="仿宋_GB2312" w:hAnsi="Times New Roman" w:cs="Times New Roman"/>
          <w:color w:val="000000"/>
          <w:kern w:val="0"/>
          <w:sz w:val="32"/>
          <w:szCs w:val="32"/>
        </w:rPr>
        <w:t>相同的标准，通常在临床试验中使用</w:t>
      </w:r>
      <w:r w:rsidRPr="00E421F6">
        <w:rPr>
          <w:rFonts w:ascii="仿宋_GB2312" w:eastAsia="仿宋_GB2312" w:hAnsi="Times New Roman" w:cs="Times New Roman" w:hint="eastAsia"/>
          <w:color w:val="000000"/>
          <w:kern w:val="0"/>
          <w:sz w:val="32"/>
          <w:szCs w:val="32"/>
        </w:rPr>
        <w:t>NCI-CTCAE的最新版本。</w:t>
      </w:r>
    </w:p>
    <w:p w:rsidR="005F5FEE" w:rsidRPr="00AB7583" w:rsidRDefault="00CC0DAB" w:rsidP="00AB7583">
      <w:pPr>
        <w:pStyle w:val="1"/>
        <w:numPr>
          <w:ilvl w:val="255"/>
          <w:numId w:val="0"/>
        </w:numPr>
        <w:spacing w:before="200" w:after="200" w:line="360" w:lineRule="auto"/>
        <w:rPr>
          <w:rFonts w:ascii="Times New Roman" w:eastAsia="黑体" w:hAnsi="Times New Roman" w:cs="Times New Roman"/>
          <w:b w:val="0"/>
          <w:color w:val="000000"/>
          <w:kern w:val="0"/>
          <w:sz w:val="32"/>
          <w:szCs w:val="32"/>
        </w:rPr>
      </w:pPr>
      <w:bookmarkStart w:id="27" w:name="_Toc104979998"/>
      <w:r w:rsidRPr="00AB7583">
        <w:rPr>
          <w:rFonts w:ascii="Times New Roman" w:eastAsia="黑体" w:hAnsi="Times New Roman" w:cs="Times New Roman" w:hint="eastAsia"/>
          <w:b w:val="0"/>
          <w:color w:val="000000"/>
          <w:kern w:val="0"/>
          <w:sz w:val="32"/>
          <w:szCs w:val="32"/>
        </w:rPr>
        <w:lastRenderedPageBreak/>
        <w:t>七、上市后要求</w:t>
      </w:r>
      <w:bookmarkEnd w:id="27"/>
    </w:p>
    <w:p w:rsidR="00DF539B" w:rsidRPr="00E421F6" w:rsidRDefault="004F3F6F"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应</w:t>
      </w:r>
      <w:r w:rsidR="00DF539B" w:rsidRPr="00E421F6">
        <w:rPr>
          <w:rFonts w:ascii="仿宋_GB2312" w:eastAsia="仿宋_GB2312" w:hAnsi="Times New Roman" w:cs="Times New Roman" w:hint="eastAsia"/>
          <w:color w:val="000000"/>
          <w:kern w:val="0"/>
          <w:sz w:val="32"/>
          <w:szCs w:val="32"/>
        </w:rPr>
        <w:t>至少从以下三个方面考虑CLL创新药的上市后要求：</w:t>
      </w:r>
    </w:p>
    <w:p w:rsidR="00DF539B" w:rsidRPr="00E421F6" w:rsidRDefault="00DF539B"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1、继续充实长期用药的安全有效性数据：上市前注册研究继续随访，上市后开展真实世界研究，广泛收集患者长期用药的安全有效性数据，并且在更具多样性的大样本人群中观察用药的安全性。</w:t>
      </w:r>
    </w:p>
    <w:p w:rsidR="00DF539B" w:rsidRPr="00E421F6" w:rsidRDefault="00DF539B"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2、给药方案优化：很多给药方案相关的问题可能无法通过上市前注册研究得到解决，例如长期不间断给药的合理性和停药时机，应在上市后继续研究优化。考虑到个体风险和预后因素对CLL治疗方案选择的影响，鼓励申请人在药物上市后继续探索研究具有不同特征患者是否需要接受差异化治疗。</w:t>
      </w:r>
    </w:p>
    <w:p w:rsidR="00DF539B" w:rsidRPr="00E421F6" w:rsidRDefault="00A5151E" w:rsidP="00E421F6">
      <w:pPr>
        <w:spacing w:line="360" w:lineRule="auto"/>
        <w:ind w:firstLineChars="200" w:firstLine="640"/>
        <w:rPr>
          <w:rFonts w:ascii="仿宋_GB2312" w:eastAsia="仿宋_GB2312" w:hAnsi="Times New Roman" w:cs="Times New Roman"/>
          <w:color w:val="000000"/>
          <w:kern w:val="0"/>
          <w:sz w:val="32"/>
          <w:szCs w:val="32"/>
        </w:rPr>
      </w:pPr>
      <w:r w:rsidRPr="00E421F6">
        <w:rPr>
          <w:rFonts w:ascii="仿宋_GB2312" w:eastAsia="仿宋_GB2312" w:hAnsi="Times New Roman" w:cs="Times New Roman" w:hint="eastAsia"/>
          <w:color w:val="000000"/>
          <w:kern w:val="0"/>
          <w:sz w:val="32"/>
          <w:szCs w:val="32"/>
        </w:rPr>
        <w:t>3、临床风险管理计划：</w:t>
      </w:r>
      <w:r w:rsidR="005F5FEE" w:rsidRPr="00E421F6">
        <w:rPr>
          <w:rFonts w:ascii="仿宋_GB2312" w:eastAsia="仿宋_GB2312" w:hAnsi="Times New Roman" w:cs="Times New Roman" w:hint="eastAsia"/>
          <w:color w:val="000000"/>
          <w:kern w:val="0"/>
          <w:sz w:val="32"/>
          <w:szCs w:val="32"/>
        </w:rPr>
        <w:t>针对老年患者的特点制定合理的患者关爱计划或教育材料</w:t>
      </w:r>
      <w:r w:rsidR="00DF539B" w:rsidRPr="00E421F6">
        <w:rPr>
          <w:rFonts w:ascii="仿宋_GB2312" w:eastAsia="仿宋_GB2312" w:hAnsi="Times New Roman" w:cs="Times New Roman" w:hint="eastAsia"/>
          <w:color w:val="000000"/>
          <w:kern w:val="0"/>
          <w:sz w:val="32"/>
          <w:szCs w:val="32"/>
        </w:rPr>
        <w:t>，减少老年患者用药错误风险，</w:t>
      </w:r>
      <w:r w:rsidRPr="00E421F6">
        <w:rPr>
          <w:rFonts w:ascii="仿宋_GB2312" w:eastAsia="仿宋_GB2312" w:hAnsi="Times New Roman" w:cs="Times New Roman" w:hint="eastAsia"/>
          <w:color w:val="000000"/>
          <w:kern w:val="0"/>
          <w:sz w:val="32"/>
          <w:szCs w:val="32"/>
        </w:rPr>
        <w:t>或降低因长期与其他药物合并使用带来的风险</w:t>
      </w:r>
      <w:r w:rsidR="00DF539B" w:rsidRPr="00E421F6">
        <w:rPr>
          <w:rFonts w:ascii="仿宋_GB2312" w:eastAsia="仿宋_GB2312" w:hAnsi="Times New Roman" w:cs="Times New Roman" w:hint="eastAsia"/>
          <w:color w:val="000000"/>
          <w:kern w:val="0"/>
          <w:sz w:val="32"/>
          <w:szCs w:val="32"/>
        </w:rPr>
        <w:t>。</w:t>
      </w:r>
    </w:p>
    <w:p w:rsidR="000A2926" w:rsidRDefault="000A2926" w:rsidP="00C17E4F">
      <w:pPr>
        <w:spacing w:line="360" w:lineRule="auto"/>
        <w:rPr>
          <w:rFonts w:ascii="Times New Roman" w:hAnsi="Times New Roman" w:cs="Times New Roman"/>
          <w:sz w:val="24"/>
        </w:rPr>
      </w:pPr>
    </w:p>
    <w:p w:rsidR="000A2926" w:rsidRDefault="00A462EC">
      <w:pPr>
        <w:numPr>
          <w:ilvl w:val="255"/>
          <w:numId w:val="0"/>
        </w:numPr>
        <w:spacing w:line="360" w:lineRule="auto"/>
        <w:outlineLvl w:val="0"/>
        <w:rPr>
          <w:rFonts w:ascii="Times New Roman" w:eastAsia="黑体" w:hAnsi="Times New Roman" w:cs="Times New Roman"/>
          <w:b/>
          <w:bCs/>
          <w:sz w:val="24"/>
        </w:rPr>
      </w:pPr>
      <w:bookmarkStart w:id="28" w:name="_Toc23472"/>
      <w:bookmarkStart w:id="29" w:name="_Toc12237"/>
      <w:bookmarkStart w:id="30" w:name="_Toc104979999"/>
      <w:r>
        <w:rPr>
          <w:rFonts w:ascii="Times New Roman" w:eastAsia="黑体" w:hAnsi="Times New Roman" w:cs="Times New Roman" w:hint="eastAsia"/>
          <w:b/>
          <w:bCs/>
          <w:sz w:val="24"/>
        </w:rPr>
        <w:t>参考文献</w:t>
      </w:r>
      <w:bookmarkEnd w:id="28"/>
      <w:bookmarkEnd w:id="29"/>
      <w:bookmarkEnd w:id="30"/>
    </w:p>
    <w:p w:rsidR="00914FFE" w:rsidRPr="00914FFE" w:rsidRDefault="001871DC"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1</w:t>
      </w:r>
      <w:r w:rsidR="0089245E">
        <w:rPr>
          <w:rFonts w:ascii="Times New Roman" w:eastAsia="宋体" w:hAnsi="Times New Roman" w:cs="Times New Roman" w:hint="eastAsia"/>
          <w:sz w:val="22"/>
          <w:szCs w:val="22"/>
        </w:rPr>
        <w:t xml:space="preserve">. </w:t>
      </w:r>
      <w:proofErr w:type="spellStart"/>
      <w:r w:rsidR="00914FFE" w:rsidRPr="00914FFE">
        <w:rPr>
          <w:rFonts w:ascii="Times New Roman" w:eastAsia="宋体" w:hAnsi="Times New Roman" w:cs="Times New Roman"/>
          <w:sz w:val="22"/>
          <w:szCs w:val="22"/>
        </w:rPr>
        <w:t>Buske</w:t>
      </w:r>
      <w:r w:rsidR="00914FFE">
        <w:rPr>
          <w:rFonts w:ascii="Times New Roman" w:eastAsia="宋体" w:hAnsi="Times New Roman" w:cs="Times New Roman" w:hint="eastAsia"/>
          <w:sz w:val="22"/>
          <w:szCs w:val="22"/>
        </w:rPr>
        <w:t>C</w:t>
      </w:r>
      <w:proofErr w:type="spellEnd"/>
      <w:r w:rsidR="00027D36">
        <w:rPr>
          <w:rFonts w:ascii="Times New Roman" w:eastAsia="宋体" w:hAnsi="Times New Roman" w:cs="Times New Roman"/>
          <w:sz w:val="22"/>
          <w:szCs w:val="22"/>
        </w:rPr>
        <w:t>.</w:t>
      </w:r>
      <w:r w:rsidR="00914FFE">
        <w:rPr>
          <w:rFonts w:ascii="Times New Roman" w:eastAsia="宋体" w:hAnsi="Times New Roman" w:cs="Times New Roman"/>
          <w:sz w:val="22"/>
          <w:szCs w:val="22"/>
        </w:rPr>
        <w:t xml:space="preserve">, </w:t>
      </w:r>
      <w:r w:rsidR="00914FFE" w:rsidRPr="00914FFE">
        <w:rPr>
          <w:rFonts w:ascii="Times New Roman" w:eastAsia="宋体" w:hAnsi="Times New Roman" w:cs="Times New Roman"/>
          <w:sz w:val="22"/>
          <w:szCs w:val="22"/>
        </w:rPr>
        <w:t>Hutchings</w:t>
      </w:r>
      <w:r w:rsidR="00914FFE">
        <w:rPr>
          <w:rFonts w:ascii="Times New Roman" w:eastAsia="宋体" w:hAnsi="Times New Roman" w:cs="Times New Roman"/>
          <w:sz w:val="22"/>
          <w:szCs w:val="22"/>
        </w:rPr>
        <w:t xml:space="preserve"> M</w:t>
      </w:r>
      <w:r w:rsidR="00027D36">
        <w:rPr>
          <w:rFonts w:ascii="Times New Roman" w:eastAsia="宋体" w:hAnsi="Times New Roman" w:cs="Times New Roman"/>
          <w:sz w:val="22"/>
          <w:szCs w:val="22"/>
        </w:rPr>
        <w:t>.</w:t>
      </w:r>
      <w:r w:rsidR="00914FFE" w:rsidRPr="00914FFE">
        <w:rPr>
          <w:rFonts w:ascii="Times New Roman" w:eastAsia="宋体" w:hAnsi="Times New Roman" w:cs="Times New Roman"/>
          <w:sz w:val="22"/>
          <w:szCs w:val="22"/>
        </w:rPr>
        <w:t xml:space="preserve">, </w:t>
      </w:r>
      <w:proofErr w:type="spellStart"/>
      <w:r w:rsidR="00914FFE" w:rsidRPr="00914FFE">
        <w:rPr>
          <w:rFonts w:ascii="Times New Roman" w:eastAsia="宋体" w:hAnsi="Times New Roman" w:cs="Times New Roman"/>
          <w:sz w:val="22"/>
          <w:szCs w:val="22"/>
        </w:rPr>
        <w:t>Ladetto</w:t>
      </w:r>
      <w:proofErr w:type="spellEnd"/>
      <w:r w:rsidR="00914FFE">
        <w:rPr>
          <w:rFonts w:ascii="Times New Roman" w:eastAsia="宋体" w:hAnsi="Times New Roman" w:cs="Times New Roman"/>
          <w:sz w:val="22"/>
          <w:szCs w:val="22"/>
        </w:rPr>
        <w:t xml:space="preserve"> M</w:t>
      </w:r>
      <w:r w:rsidR="00027D36">
        <w:rPr>
          <w:rFonts w:ascii="Times New Roman" w:eastAsia="宋体" w:hAnsi="Times New Roman" w:cs="Times New Roman"/>
          <w:sz w:val="22"/>
          <w:szCs w:val="22"/>
        </w:rPr>
        <w:t>.</w:t>
      </w:r>
      <w:r w:rsidR="00914FFE">
        <w:rPr>
          <w:rFonts w:ascii="Times New Roman" w:eastAsia="宋体" w:hAnsi="Times New Roman" w:cs="Times New Roman"/>
          <w:sz w:val="22"/>
          <w:szCs w:val="22"/>
        </w:rPr>
        <w:t xml:space="preserve">, et al. </w:t>
      </w:r>
      <w:r w:rsidR="00914FFE" w:rsidRPr="00914FFE">
        <w:rPr>
          <w:rFonts w:ascii="Times New Roman" w:eastAsia="宋体" w:hAnsi="Times New Roman" w:cs="Times New Roman"/>
          <w:sz w:val="22"/>
          <w:szCs w:val="22"/>
        </w:rPr>
        <w:t>ESMO Consensus Conference on malignant lymphoma: general perspectives and recommendations for the clinical management of the elderly patient with malignant lymphoma</w:t>
      </w:r>
      <w:r w:rsidR="00914FFE">
        <w:rPr>
          <w:rFonts w:ascii="Times New Roman" w:eastAsia="宋体" w:hAnsi="Times New Roman" w:cs="Times New Roman"/>
          <w:sz w:val="22"/>
          <w:szCs w:val="22"/>
        </w:rPr>
        <w:t xml:space="preserve">. </w:t>
      </w:r>
      <w:r w:rsidR="00914FFE" w:rsidRPr="00914FFE">
        <w:rPr>
          <w:rFonts w:ascii="Times New Roman" w:eastAsia="宋体" w:hAnsi="Times New Roman" w:cs="Times New Roman"/>
          <w:sz w:val="22"/>
          <w:szCs w:val="22"/>
        </w:rPr>
        <w:t>Annals of Oncology</w:t>
      </w:r>
      <w:r w:rsidR="00914FFE">
        <w:rPr>
          <w:rFonts w:ascii="Times New Roman" w:eastAsia="宋体" w:hAnsi="Times New Roman" w:cs="Times New Roman"/>
          <w:sz w:val="22"/>
          <w:szCs w:val="22"/>
        </w:rPr>
        <w:t>. 2018,</w:t>
      </w:r>
      <w:r w:rsidR="00914FFE" w:rsidRPr="00914FFE">
        <w:rPr>
          <w:rFonts w:ascii="Times New Roman" w:eastAsia="宋体" w:hAnsi="Times New Roman" w:cs="Times New Roman"/>
          <w:sz w:val="22"/>
          <w:szCs w:val="22"/>
        </w:rPr>
        <w:t xml:space="preserve"> 29</w:t>
      </w:r>
      <w:r w:rsidR="00914FFE">
        <w:rPr>
          <w:rFonts w:ascii="Times New Roman" w:eastAsia="宋体" w:hAnsi="Times New Roman" w:cs="Times New Roman"/>
          <w:sz w:val="22"/>
          <w:szCs w:val="22"/>
        </w:rPr>
        <w:t>(3)</w:t>
      </w:r>
      <w:r w:rsidR="00914FFE" w:rsidRPr="00914FFE">
        <w:rPr>
          <w:rFonts w:ascii="Times New Roman" w:eastAsia="宋体" w:hAnsi="Times New Roman" w:cs="Times New Roman"/>
          <w:sz w:val="22"/>
          <w:szCs w:val="22"/>
        </w:rPr>
        <w:t>: 544–562,</w:t>
      </w:r>
    </w:p>
    <w:p w:rsidR="00027D36" w:rsidRPr="00027D36" w:rsidRDefault="00A47516"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2</w:t>
      </w:r>
      <w:r w:rsidR="0089245E">
        <w:rPr>
          <w:rFonts w:ascii="Times New Roman" w:eastAsia="宋体" w:hAnsi="Times New Roman" w:cs="Times New Roman" w:hint="eastAsia"/>
          <w:sz w:val="22"/>
          <w:szCs w:val="22"/>
        </w:rPr>
        <w:t xml:space="preserve">. </w:t>
      </w:r>
      <w:proofErr w:type="spellStart"/>
      <w:r w:rsidR="00027D36" w:rsidRPr="00027D36">
        <w:rPr>
          <w:rFonts w:ascii="Times New Roman" w:eastAsia="宋体" w:hAnsi="Times New Roman" w:cs="Times New Roman"/>
          <w:sz w:val="22"/>
          <w:szCs w:val="22"/>
        </w:rPr>
        <w:t>Mukkamalla</w:t>
      </w:r>
      <w:r w:rsidR="00027D36">
        <w:rPr>
          <w:rFonts w:ascii="Times New Roman" w:eastAsia="宋体" w:hAnsi="Times New Roman" w:cs="Times New Roman" w:hint="eastAsia"/>
          <w:sz w:val="22"/>
          <w:szCs w:val="22"/>
        </w:rPr>
        <w:t>S</w:t>
      </w:r>
      <w:r w:rsidR="00027D36">
        <w:rPr>
          <w:rFonts w:ascii="Times New Roman" w:eastAsia="宋体" w:hAnsi="Times New Roman" w:cs="Times New Roman"/>
          <w:sz w:val="22"/>
          <w:szCs w:val="22"/>
        </w:rPr>
        <w:t>.</w:t>
      </w:r>
      <w:r w:rsidR="00027D36">
        <w:rPr>
          <w:rFonts w:ascii="Times New Roman" w:eastAsia="宋体" w:hAnsi="Times New Roman" w:cs="Times New Roman" w:hint="eastAsia"/>
          <w:sz w:val="22"/>
          <w:szCs w:val="22"/>
        </w:rPr>
        <w:t>K</w:t>
      </w:r>
      <w:r w:rsidR="00027D36">
        <w:rPr>
          <w:rFonts w:ascii="Times New Roman" w:eastAsia="宋体" w:hAnsi="Times New Roman" w:cs="Times New Roman"/>
          <w:sz w:val="22"/>
          <w:szCs w:val="22"/>
        </w:rPr>
        <w:t>.</w:t>
      </w:r>
      <w:r w:rsidR="00027D36">
        <w:rPr>
          <w:rFonts w:ascii="Times New Roman" w:eastAsia="宋体" w:hAnsi="Times New Roman" w:cs="Times New Roman" w:hint="eastAsia"/>
          <w:sz w:val="22"/>
          <w:szCs w:val="22"/>
        </w:rPr>
        <w:t>R</w:t>
      </w:r>
      <w:proofErr w:type="spellEnd"/>
      <w:r w:rsidR="00027D36">
        <w:rPr>
          <w:rFonts w:ascii="Times New Roman" w:eastAsia="宋体" w:hAnsi="Times New Roman" w:cs="Times New Roman"/>
          <w:sz w:val="22"/>
          <w:szCs w:val="22"/>
        </w:rPr>
        <w:t xml:space="preserve">., </w:t>
      </w:r>
      <w:proofErr w:type="spellStart"/>
      <w:r w:rsidR="00027D36" w:rsidRPr="00027D36">
        <w:rPr>
          <w:rFonts w:ascii="Times New Roman" w:eastAsia="宋体" w:hAnsi="Times New Roman" w:cs="Times New Roman"/>
          <w:sz w:val="22"/>
          <w:szCs w:val="22"/>
        </w:rPr>
        <w:t>Taneja</w:t>
      </w:r>
      <w:proofErr w:type="spellEnd"/>
      <w:r w:rsidR="00027D36">
        <w:rPr>
          <w:rFonts w:ascii="Times New Roman" w:eastAsia="宋体" w:hAnsi="Times New Roman" w:cs="Times New Roman"/>
          <w:sz w:val="22"/>
          <w:szCs w:val="22"/>
        </w:rPr>
        <w:t xml:space="preserve"> A., </w:t>
      </w:r>
      <w:proofErr w:type="spellStart"/>
      <w:r w:rsidR="00027D36" w:rsidRPr="00027D36">
        <w:rPr>
          <w:rFonts w:ascii="Times New Roman" w:eastAsia="宋体" w:hAnsi="Times New Roman" w:cs="Times New Roman"/>
          <w:sz w:val="22"/>
          <w:szCs w:val="22"/>
        </w:rPr>
        <w:t>Malipeddi</w:t>
      </w:r>
      <w:proofErr w:type="spellEnd"/>
      <w:r w:rsidR="00027D36">
        <w:rPr>
          <w:rFonts w:ascii="Times New Roman" w:eastAsia="宋体" w:hAnsi="Times New Roman" w:cs="Times New Roman"/>
          <w:sz w:val="22"/>
          <w:szCs w:val="22"/>
        </w:rPr>
        <w:t xml:space="preserve"> M., et al. </w:t>
      </w:r>
      <w:r w:rsidR="00027D36" w:rsidRPr="00027D36">
        <w:rPr>
          <w:rFonts w:ascii="Times New Roman" w:eastAsia="宋体" w:hAnsi="Times New Roman" w:cs="Times New Roman"/>
          <w:sz w:val="22"/>
          <w:szCs w:val="22"/>
        </w:rPr>
        <w:t>Chronic Lymphocytic Leukemia</w:t>
      </w:r>
      <w:r w:rsidR="00027D36">
        <w:rPr>
          <w:rFonts w:ascii="Times New Roman" w:eastAsia="宋体" w:hAnsi="Times New Roman" w:cs="Times New Roman"/>
          <w:sz w:val="22"/>
          <w:szCs w:val="22"/>
        </w:rPr>
        <w:t xml:space="preserve">[M]. </w:t>
      </w:r>
      <w:proofErr w:type="spellStart"/>
      <w:r w:rsidR="00027D36" w:rsidRPr="00027D36">
        <w:rPr>
          <w:rFonts w:ascii="Times New Roman" w:eastAsia="宋体" w:hAnsi="Times New Roman" w:cs="Times New Roman"/>
          <w:sz w:val="22"/>
          <w:szCs w:val="22"/>
        </w:rPr>
        <w:t>StatPearls</w:t>
      </w:r>
      <w:proofErr w:type="spellEnd"/>
      <w:r w:rsidR="00027D36" w:rsidRPr="00027D36">
        <w:rPr>
          <w:rFonts w:ascii="Times New Roman" w:eastAsia="宋体" w:hAnsi="Times New Roman" w:cs="Times New Roman"/>
          <w:sz w:val="22"/>
          <w:szCs w:val="22"/>
        </w:rPr>
        <w:t xml:space="preserve"> Publishing; 2022 Jan-.</w:t>
      </w:r>
    </w:p>
    <w:p w:rsidR="00914FFE" w:rsidRPr="00F4498A" w:rsidRDefault="00027D36"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3</w:t>
      </w:r>
      <w:r w:rsidR="0089245E">
        <w:rPr>
          <w:rFonts w:ascii="Times New Roman" w:eastAsia="宋体" w:hAnsi="Times New Roman" w:cs="Times New Roman" w:hint="eastAsia"/>
          <w:sz w:val="22"/>
          <w:szCs w:val="22"/>
        </w:rPr>
        <w:t xml:space="preserve">. </w:t>
      </w:r>
      <w:r w:rsidR="00A47516" w:rsidRPr="00A47516">
        <w:rPr>
          <w:rFonts w:ascii="Times New Roman" w:eastAsia="宋体" w:hAnsi="Times New Roman" w:cs="Times New Roman" w:hint="eastAsia"/>
          <w:sz w:val="22"/>
          <w:szCs w:val="22"/>
        </w:rPr>
        <w:t>中华医学会血液学分会白血病</w:t>
      </w:r>
      <w:proofErr w:type="gramStart"/>
      <w:r w:rsidR="00A47516" w:rsidRPr="00A47516">
        <w:rPr>
          <w:rFonts w:ascii="Times New Roman" w:eastAsia="宋体" w:hAnsi="Times New Roman" w:cs="Times New Roman" w:hint="eastAsia"/>
          <w:sz w:val="22"/>
          <w:szCs w:val="22"/>
        </w:rPr>
        <w:t>淋巴瘤学组</w:t>
      </w:r>
      <w:proofErr w:type="gramEnd"/>
      <w:r w:rsidR="00A47516">
        <w:rPr>
          <w:rFonts w:ascii="Times New Roman" w:eastAsia="宋体" w:hAnsi="Times New Roman" w:cs="Times New Roman"/>
          <w:sz w:val="22"/>
          <w:szCs w:val="22"/>
        </w:rPr>
        <w:t xml:space="preserve">, </w:t>
      </w:r>
      <w:r w:rsidR="00A47516" w:rsidRPr="00A47516">
        <w:rPr>
          <w:rFonts w:ascii="Times New Roman" w:eastAsia="宋体" w:hAnsi="Times New Roman" w:cs="Times New Roman" w:hint="eastAsia"/>
          <w:sz w:val="22"/>
          <w:szCs w:val="22"/>
        </w:rPr>
        <w:t>中国抗癌协会血液肿瘤专业委员会</w:t>
      </w:r>
      <w:r w:rsidR="00A47516">
        <w:rPr>
          <w:rFonts w:ascii="Times New Roman" w:eastAsia="宋体" w:hAnsi="Times New Roman" w:cs="Times New Roman" w:hint="eastAsia"/>
          <w:sz w:val="22"/>
          <w:szCs w:val="22"/>
        </w:rPr>
        <w:t>,</w:t>
      </w:r>
      <w:r w:rsidR="00A47516" w:rsidRPr="00A47516">
        <w:rPr>
          <w:rFonts w:ascii="Times New Roman" w:eastAsia="宋体" w:hAnsi="Times New Roman" w:cs="Times New Roman" w:hint="eastAsia"/>
          <w:sz w:val="22"/>
          <w:szCs w:val="22"/>
        </w:rPr>
        <w:t>中国慢性淋巴细胞白血病工作组</w:t>
      </w:r>
      <w:r w:rsidR="00A47516">
        <w:rPr>
          <w:rFonts w:ascii="Times New Roman" w:eastAsia="宋体" w:hAnsi="Times New Roman" w:cs="Times New Roman" w:hint="eastAsia"/>
          <w:sz w:val="22"/>
          <w:szCs w:val="22"/>
        </w:rPr>
        <w:t>.</w:t>
      </w:r>
      <w:r w:rsidR="00F4498A" w:rsidRPr="00F4498A">
        <w:rPr>
          <w:rFonts w:ascii="Times New Roman" w:eastAsia="宋体" w:hAnsi="Times New Roman" w:cs="Times New Roman" w:hint="eastAsia"/>
          <w:sz w:val="22"/>
          <w:szCs w:val="22"/>
        </w:rPr>
        <w:t>中国慢性淋巴细胞白血病</w:t>
      </w:r>
      <w:r w:rsidR="00F4498A" w:rsidRPr="00F4498A">
        <w:rPr>
          <w:rFonts w:ascii="Times New Roman" w:eastAsia="宋体" w:hAnsi="Times New Roman" w:cs="Times New Roman" w:hint="eastAsia"/>
          <w:sz w:val="22"/>
          <w:szCs w:val="22"/>
        </w:rPr>
        <w:t>/</w:t>
      </w:r>
      <w:r w:rsidR="00F4498A" w:rsidRPr="00F4498A">
        <w:rPr>
          <w:rFonts w:ascii="Times New Roman" w:eastAsia="宋体" w:hAnsi="Times New Roman" w:cs="Times New Roman" w:hint="eastAsia"/>
          <w:sz w:val="22"/>
          <w:szCs w:val="22"/>
        </w:rPr>
        <w:t>小淋巴细胞淋巴瘤的诊断与治疗</w:t>
      </w:r>
      <w:r w:rsidR="00F4498A" w:rsidRPr="00F4498A">
        <w:rPr>
          <w:rFonts w:ascii="Times New Roman" w:eastAsia="宋体" w:hAnsi="Times New Roman" w:cs="Times New Roman" w:hint="eastAsia"/>
          <w:sz w:val="22"/>
          <w:szCs w:val="22"/>
        </w:rPr>
        <w:lastRenderedPageBreak/>
        <w:t>指南（</w:t>
      </w:r>
      <w:r w:rsidR="00F4498A" w:rsidRPr="00F4498A">
        <w:rPr>
          <w:rFonts w:ascii="Times New Roman" w:eastAsia="宋体" w:hAnsi="Times New Roman" w:cs="Times New Roman" w:hint="eastAsia"/>
          <w:sz w:val="22"/>
          <w:szCs w:val="22"/>
        </w:rPr>
        <w:t>2018</w:t>
      </w:r>
      <w:r w:rsidR="00F4498A" w:rsidRPr="00F4498A">
        <w:rPr>
          <w:rFonts w:ascii="Times New Roman" w:eastAsia="宋体" w:hAnsi="Times New Roman" w:cs="Times New Roman" w:hint="eastAsia"/>
          <w:sz w:val="22"/>
          <w:szCs w:val="22"/>
        </w:rPr>
        <w:t>年版）</w:t>
      </w:r>
      <w:r w:rsidR="00F4498A">
        <w:rPr>
          <w:rFonts w:ascii="Times New Roman" w:eastAsia="宋体" w:hAnsi="Times New Roman" w:cs="Times New Roman" w:hint="eastAsia"/>
          <w:sz w:val="22"/>
          <w:szCs w:val="22"/>
        </w:rPr>
        <w:t>[</w:t>
      </w:r>
      <w:r w:rsidR="00F4498A">
        <w:rPr>
          <w:rFonts w:ascii="Times New Roman" w:eastAsia="宋体" w:hAnsi="Times New Roman" w:cs="Times New Roman"/>
          <w:sz w:val="22"/>
          <w:szCs w:val="22"/>
        </w:rPr>
        <w:t xml:space="preserve">J]. </w:t>
      </w:r>
      <w:r w:rsidR="00F4498A" w:rsidRPr="00F4498A">
        <w:rPr>
          <w:rFonts w:ascii="Times New Roman" w:eastAsia="宋体" w:hAnsi="Times New Roman" w:cs="Times New Roman" w:hint="eastAsia"/>
          <w:sz w:val="22"/>
          <w:szCs w:val="22"/>
        </w:rPr>
        <w:t>中华血液学杂志</w:t>
      </w:r>
      <w:r w:rsidR="00F4498A" w:rsidRPr="00F4498A">
        <w:rPr>
          <w:rFonts w:ascii="Times New Roman" w:eastAsia="宋体" w:hAnsi="Times New Roman" w:cs="Times New Roman" w:hint="eastAsia"/>
          <w:sz w:val="22"/>
          <w:szCs w:val="22"/>
        </w:rPr>
        <w:t>, 2018,39(5) : 353-358.</w:t>
      </w:r>
    </w:p>
    <w:p w:rsidR="00914FFE" w:rsidRDefault="007D2387" w:rsidP="007D2387">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4</w:t>
      </w:r>
      <w:r w:rsidR="0089245E">
        <w:rPr>
          <w:rFonts w:ascii="Times New Roman" w:eastAsia="宋体" w:hAnsi="Times New Roman" w:cs="Times New Roman" w:hint="eastAsia"/>
          <w:sz w:val="22"/>
          <w:szCs w:val="22"/>
        </w:rPr>
        <w:t xml:space="preserve">. </w:t>
      </w:r>
      <w:proofErr w:type="spellStart"/>
      <w:r w:rsidRPr="007D2387">
        <w:rPr>
          <w:rFonts w:ascii="Times New Roman" w:eastAsia="宋体" w:hAnsi="Times New Roman" w:cs="Times New Roman"/>
          <w:sz w:val="22"/>
          <w:szCs w:val="22"/>
        </w:rPr>
        <w:t>Scotté</w:t>
      </w:r>
      <w:proofErr w:type="spellEnd"/>
      <w:r w:rsidRPr="007D2387">
        <w:rPr>
          <w:rFonts w:ascii="Times New Roman" w:eastAsia="宋体" w:hAnsi="Times New Roman" w:cs="Times New Roman"/>
          <w:sz w:val="22"/>
          <w:szCs w:val="22"/>
        </w:rPr>
        <w:t xml:space="preserve"> F</w:t>
      </w:r>
      <w:r w:rsidR="00783C09">
        <w:rPr>
          <w:rFonts w:ascii="Times New Roman" w:eastAsia="宋体" w:hAnsi="Times New Roman" w:cs="Times New Roman" w:hint="eastAsia"/>
          <w:sz w:val="22"/>
          <w:szCs w:val="22"/>
        </w:rPr>
        <w:t>.</w:t>
      </w:r>
      <w:r w:rsidRPr="007D2387">
        <w:rPr>
          <w:rFonts w:ascii="Times New Roman" w:eastAsia="宋体" w:hAnsi="Times New Roman" w:cs="Times New Roman"/>
          <w:sz w:val="22"/>
          <w:szCs w:val="22"/>
        </w:rPr>
        <w:t xml:space="preserve">, </w:t>
      </w:r>
      <w:proofErr w:type="spellStart"/>
      <w:r w:rsidRPr="007D2387">
        <w:rPr>
          <w:rFonts w:ascii="Times New Roman" w:eastAsia="宋体" w:hAnsi="Times New Roman" w:cs="Times New Roman"/>
          <w:sz w:val="22"/>
          <w:szCs w:val="22"/>
        </w:rPr>
        <w:t>Bossi</w:t>
      </w:r>
      <w:proofErr w:type="spellEnd"/>
      <w:r w:rsidRPr="007D2387">
        <w:rPr>
          <w:rFonts w:ascii="Times New Roman" w:eastAsia="宋体" w:hAnsi="Times New Roman" w:cs="Times New Roman"/>
          <w:sz w:val="22"/>
          <w:szCs w:val="22"/>
        </w:rPr>
        <w:t xml:space="preserve"> P</w:t>
      </w:r>
      <w:r w:rsidR="00783C09">
        <w:rPr>
          <w:rFonts w:ascii="Times New Roman" w:eastAsia="宋体" w:hAnsi="Times New Roman" w:cs="Times New Roman" w:hint="eastAsia"/>
          <w:sz w:val="22"/>
          <w:szCs w:val="22"/>
        </w:rPr>
        <w:t>.</w:t>
      </w:r>
      <w:r w:rsidRPr="007D2387">
        <w:rPr>
          <w:rFonts w:ascii="Times New Roman" w:eastAsia="宋体" w:hAnsi="Times New Roman" w:cs="Times New Roman"/>
          <w:sz w:val="22"/>
          <w:szCs w:val="22"/>
        </w:rPr>
        <w:t xml:space="preserve">, </w:t>
      </w:r>
      <w:proofErr w:type="spellStart"/>
      <w:r w:rsidRPr="007D2387">
        <w:rPr>
          <w:rFonts w:ascii="Times New Roman" w:eastAsia="宋体" w:hAnsi="Times New Roman" w:cs="Times New Roman"/>
          <w:sz w:val="22"/>
          <w:szCs w:val="22"/>
        </w:rPr>
        <w:t>Carola</w:t>
      </w:r>
      <w:proofErr w:type="spellEnd"/>
      <w:r w:rsidRPr="007D2387">
        <w:rPr>
          <w:rFonts w:ascii="Times New Roman" w:eastAsia="宋体" w:hAnsi="Times New Roman" w:cs="Times New Roman"/>
          <w:sz w:val="22"/>
          <w:szCs w:val="22"/>
        </w:rPr>
        <w:t xml:space="preserve"> E</w:t>
      </w:r>
      <w:r w:rsidR="00783C09">
        <w:rPr>
          <w:rFonts w:ascii="Times New Roman" w:eastAsia="宋体" w:hAnsi="Times New Roman" w:cs="Times New Roman" w:hint="eastAsia"/>
          <w:sz w:val="22"/>
          <w:szCs w:val="22"/>
        </w:rPr>
        <w:t>.</w:t>
      </w:r>
      <w:r w:rsidRPr="007D2387">
        <w:rPr>
          <w:rFonts w:ascii="Times New Roman" w:eastAsia="宋体" w:hAnsi="Times New Roman" w:cs="Times New Roman"/>
          <w:sz w:val="22"/>
          <w:szCs w:val="22"/>
        </w:rPr>
        <w:t>,</w:t>
      </w:r>
      <w:r>
        <w:rPr>
          <w:rFonts w:ascii="Times New Roman" w:eastAsia="宋体" w:hAnsi="Times New Roman" w:cs="Times New Roman" w:hint="eastAsia"/>
          <w:sz w:val="22"/>
          <w:szCs w:val="22"/>
        </w:rPr>
        <w:t xml:space="preserve"> et al. </w:t>
      </w:r>
      <w:r w:rsidRPr="007D2387">
        <w:rPr>
          <w:rFonts w:ascii="Times New Roman" w:eastAsia="宋体" w:hAnsi="Times New Roman" w:cs="Times New Roman"/>
          <w:sz w:val="22"/>
          <w:szCs w:val="22"/>
        </w:rPr>
        <w:t>Addressing the quality of life needs of older patients with cancer: a SIOG consensus paper and practical guide</w:t>
      </w:r>
      <w:r>
        <w:rPr>
          <w:rFonts w:ascii="Times New Roman" w:eastAsia="宋体" w:hAnsi="Times New Roman" w:cs="Times New Roman" w:hint="eastAsia"/>
          <w:sz w:val="22"/>
          <w:szCs w:val="22"/>
        </w:rPr>
        <w:t>[J</w:t>
      </w:r>
      <w:proofErr w:type="gramStart"/>
      <w:r>
        <w:rPr>
          <w:rFonts w:ascii="Times New Roman" w:eastAsia="宋体" w:hAnsi="Times New Roman" w:cs="Times New Roman" w:hint="eastAsia"/>
          <w:sz w:val="22"/>
          <w:szCs w:val="22"/>
        </w:rPr>
        <w:t>].</w:t>
      </w:r>
      <w:r w:rsidRPr="007D2387">
        <w:rPr>
          <w:rFonts w:ascii="Times New Roman" w:eastAsia="宋体" w:hAnsi="Times New Roman" w:cs="Times New Roman"/>
          <w:sz w:val="22"/>
          <w:szCs w:val="22"/>
        </w:rPr>
        <w:t>Ann</w:t>
      </w:r>
      <w:proofErr w:type="gramEnd"/>
      <w:r w:rsidRPr="007D2387">
        <w:rPr>
          <w:rFonts w:ascii="Times New Roman" w:eastAsia="宋体" w:hAnsi="Times New Roman" w:cs="Times New Roman"/>
          <w:sz w:val="22"/>
          <w:szCs w:val="22"/>
        </w:rPr>
        <w:t xml:space="preserve"> </w:t>
      </w:r>
      <w:proofErr w:type="spellStart"/>
      <w:r w:rsidRPr="007D2387">
        <w:rPr>
          <w:rFonts w:ascii="Times New Roman" w:eastAsia="宋体" w:hAnsi="Times New Roman" w:cs="Times New Roman"/>
          <w:sz w:val="22"/>
          <w:szCs w:val="22"/>
        </w:rPr>
        <w:t>Oncol</w:t>
      </w:r>
      <w:proofErr w:type="spellEnd"/>
      <w:r>
        <w:rPr>
          <w:rFonts w:ascii="Times New Roman" w:eastAsia="宋体" w:hAnsi="Times New Roman" w:cs="Times New Roman"/>
          <w:sz w:val="22"/>
          <w:szCs w:val="22"/>
        </w:rPr>
        <w:t>. 2018</w:t>
      </w:r>
      <w:r>
        <w:rPr>
          <w:rFonts w:ascii="Times New Roman" w:eastAsia="宋体" w:hAnsi="Times New Roman" w:cs="Times New Roman" w:hint="eastAsia"/>
          <w:sz w:val="22"/>
          <w:szCs w:val="22"/>
        </w:rPr>
        <w:t xml:space="preserve">, </w:t>
      </w:r>
      <w:r w:rsidRPr="007D2387">
        <w:rPr>
          <w:rFonts w:ascii="Times New Roman" w:eastAsia="宋体" w:hAnsi="Times New Roman" w:cs="Times New Roman"/>
          <w:sz w:val="22"/>
          <w:szCs w:val="22"/>
        </w:rPr>
        <w:t>29(8):1718-1726.</w:t>
      </w:r>
    </w:p>
    <w:p w:rsidR="003E7BE2" w:rsidRPr="003E7BE2" w:rsidRDefault="003E7BE2" w:rsidP="003E7BE2">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5</w:t>
      </w:r>
      <w:r w:rsidR="0089245E">
        <w:rPr>
          <w:rFonts w:ascii="Times New Roman" w:eastAsia="宋体" w:hAnsi="Times New Roman" w:cs="Times New Roman" w:hint="eastAsia"/>
          <w:sz w:val="22"/>
          <w:szCs w:val="22"/>
        </w:rPr>
        <w:t xml:space="preserve">. </w:t>
      </w:r>
      <w:proofErr w:type="spellStart"/>
      <w:r w:rsidRPr="003E7BE2">
        <w:rPr>
          <w:rFonts w:ascii="Times New Roman" w:eastAsia="宋体" w:hAnsi="Times New Roman" w:cs="Times New Roman"/>
          <w:sz w:val="22"/>
          <w:szCs w:val="22"/>
        </w:rPr>
        <w:t>Parmelee</w:t>
      </w:r>
      <w:proofErr w:type="spellEnd"/>
      <w:r>
        <w:rPr>
          <w:rFonts w:ascii="Times New Roman" w:eastAsia="宋体" w:hAnsi="Times New Roman" w:cs="Times New Roman" w:hint="eastAsia"/>
          <w:sz w:val="22"/>
          <w:szCs w:val="22"/>
        </w:rPr>
        <w:t xml:space="preserve"> P.A.</w:t>
      </w:r>
      <w:r w:rsidRPr="003E7BE2">
        <w:rPr>
          <w:rFonts w:ascii="Times New Roman" w:eastAsia="宋体" w:hAnsi="Times New Roman" w:cs="Times New Roman"/>
          <w:sz w:val="22"/>
          <w:szCs w:val="22"/>
        </w:rPr>
        <w:t xml:space="preserve">, </w:t>
      </w:r>
      <w:proofErr w:type="spellStart"/>
      <w:r w:rsidRPr="003E7BE2">
        <w:rPr>
          <w:rFonts w:ascii="Times New Roman" w:eastAsia="宋体" w:hAnsi="Times New Roman" w:cs="Times New Roman"/>
          <w:sz w:val="22"/>
          <w:szCs w:val="22"/>
        </w:rPr>
        <w:t>Thuras</w:t>
      </w:r>
      <w:proofErr w:type="spellEnd"/>
      <w:r w:rsidRPr="003E7BE2">
        <w:rPr>
          <w:rFonts w:ascii="Times New Roman" w:eastAsia="宋体" w:hAnsi="Times New Roman" w:cs="Times New Roman"/>
          <w:sz w:val="22"/>
          <w:szCs w:val="22"/>
        </w:rPr>
        <w:t xml:space="preserve"> P</w:t>
      </w:r>
      <w:r>
        <w:rPr>
          <w:rFonts w:ascii="Times New Roman" w:eastAsia="宋体" w:hAnsi="Times New Roman" w:cs="Times New Roman" w:hint="eastAsia"/>
          <w:sz w:val="22"/>
          <w:szCs w:val="22"/>
        </w:rPr>
        <w:t>.</w:t>
      </w:r>
      <w:r w:rsidRPr="003E7BE2">
        <w:rPr>
          <w:rFonts w:ascii="Times New Roman" w:eastAsia="宋体" w:hAnsi="Times New Roman" w:cs="Times New Roman"/>
          <w:sz w:val="22"/>
          <w:szCs w:val="22"/>
        </w:rPr>
        <w:t>D</w:t>
      </w:r>
      <w:r>
        <w:rPr>
          <w:rFonts w:ascii="Times New Roman" w:eastAsia="宋体" w:hAnsi="Times New Roman" w:cs="Times New Roman" w:hint="eastAsia"/>
          <w:sz w:val="22"/>
          <w:szCs w:val="22"/>
        </w:rPr>
        <w:t>.</w:t>
      </w:r>
      <w:r w:rsidRPr="003E7BE2">
        <w:rPr>
          <w:rFonts w:ascii="Times New Roman" w:eastAsia="宋体" w:hAnsi="Times New Roman" w:cs="Times New Roman"/>
          <w:sz w:val="22"/>
          <w:szCs w:val="22"/>
        </w:rPr>
        <w:t xml:space="preserve">, Katz </w:t>
      </w:r>
      <w:r>
        <w:rPr>
          <w:rFonts w:ascii="Times New Roman" w:eastAsia="宋体" w:hAnsi="Times New Roman" w:cs="Times New Roman"/>
          <w:sz w:val="22"/>
          <w:szCs w:val="22"/>
        </w:rPr>
        <w:t>I</w:t>
      </w:r>
      <w:r>
        <w:rPr>
          <w:rFonts w:ascii="Times New Roman" w:eastAsia="宋体" w:hAnsi="Times New Roman" w:cs="Times New Roman" w:hint="eastAsia"/>
          <w:sz w:val="22"/>
          <w:szCs w:val="22"/>
        </w:rPr>
        <w:t>.</w:t>
      </w:r>
      <w:r w:rsidRPr="003E7BE2">
        <w:rPr>
          <w:rFonts w:ascii="Times New Roman" w:eastAsia="宋体" w:hAnsi="Times New Roman" w:cs="Times New Roman"/>
          <w:sz w:val="22"/>
          <w:szCs w:val="22"/>
        </w:rPr>
        <w:t>R</w:t>
      </w:r>
      <w:r>
        <w:rPr>
          <w:rFonts w:ascii="Times New Roman" w:eastAsia="宋体" w:hAnsi="Times New Roman" w:cs="Times New Roman" w:hint="eastAsia"/>
          <w:sz w:val="22"/>
          <w:szCs w:val="22"/>
        </w:rPr>
        <w:t>.</w:t>
      </w:r>
      <w:r w:rsidRPr="003E7BE2">
        <w:rPr>
          <w:rFonts w:ascii="Times New Roman" w:eastAsia="宋体" w:hAnsi="Times New Roman" w:cs="Times New Roman"/>
          <w:sz w:val="22"/>
          <w:szCs w:val="22"/>
        </w:rPr>
        <w:t>,</w:t>
      </w:r>
      <w:r>
        <w:rPr>
          <w:rFonts w:ascii="Times New Roman" w:eastAsia="宋体" w:hAnsi="Times New Roman" w:cs="Times New Roman" w:hint="eastAsia"/>
          <w:sz w:val="22"/>
          <w:szCs w:val="22"/>
        </w:rPr>
        <w:t xml:space="preserve"> Lawton </w:t>
      </w:r>
      <w:proofErr w:type="gramStart"/>
      <w:r>
        <w:rPr>
          <w:rFonts w:ascii="Times New Roman" w:eastAsia="宋体" w:hAnsi="Times New Roman" w:cs="Times New Roman" w:hint="eastAsia"/>
          <w:sz w:val="22"/>
          <w:szCs w:val="22"/>
        </w:rPr>
        <w:t>M.P..</w:t>
      </w:r>
      <w:proofErr w:type="gramEnd"/>
      <w:r w:rsidRPr="003E7BE2">
        <w:rPr>
          <w:rFonts w:ascii="Times New Roman" w:eastAsia="宋体" w:hAnsi="Times New Roman" w:cs="Times New Roman"/>
          <w:sz w:val="22"/>
          <w:szCs w:val="22"/>
        </w:rPr>
        <w:t xml:space="preserve"> Validation of the Cumulative Illness Rating Scale in a geriatric residential population</w:t>
      </w:r>
      <w:r>
        <w:rPr>
          <w:rFonts w:ascii="Times New Roman" w:eastAsia="宋体" w:hAnsi="Times New Roman" w:cs="Times New Roman" w:hint="eastAsia"/>
          <w:sz w:val="22"/>
          <w:szCs w:val="22"/>
        </w:rPr>
        <w:t xml:space="preserve">[J]. </w:t>
      </w:r>
      <w:r w:rsidRPr="003E7BE2">
        <w:rPr>
          <w:rFonts w:ascii="Times New Roman" w:eastAsia="宋体" w:hAnsi="Times New Roman" w:cs="Times New Roman"/>
          <w:sz w:val="22"/>
          <w:szCs w:val="22"/>
        </w:rPr>
        <w:t xml:space="preserve">J Am </w:t>
      </w:r>
      <w:proofErr w:type="spellStart"/>
      <w:r w:rsidRPr="003E7BE2">
        <w:rPr>
          <w:rFonts w:ascii="Times New Roman" w:eastAsia="宋体" w:hAnsi="Times New Roman" w:cs="Times New Roman"/>
          <w:sz w:val="22"/>
          <w:szCs w:val="22"/>
        </w:rPr>
        <w:t>Geriatr</w:t>
      </w:r>
      <w:proofErr w:type="spellEnd"/>
      <w:r w:rsidRPr="003E7BE2">
        <w:rPr>
          <w:rFonts w:ascii="Times New Roman" w:eastAsia="宋体" w:hAnsi="Times New Roman" w:cs="Times New Roman"/>
          <w:sz w:val="22"/>
          <w:szCs w:val="22"/>
        </w:rPr>
        <w:t xml:space="preserve"> Soc. 1995</w:t>
      </w:r>
      <w:r>
        <w:rPr>
          <w:rFonts w:ascii="Times New Roman" w:eastAsia="宋体" w:hAnsi="Times New Roman" w:cs="Times New Roman" w:hint="eastAsia"/>
          <w:sz w:val="22"/>
          <w:szCs w:val="22"/>
        </w:rPr>
        <w:t xml:space="preserve">, </w:t>
      </w:r>
      <w:r w:rsidRPr="003E7BE2">
        <w:rPr>
          <w:rFonts w:ascii="Times New Roman" w:eastAsia="宋体" w:hAnsi="Times New Roman" w:cs="Times New Roman"/>
          <w:sz w:val="22"/>
          <w:szCs w:val="22"/>
        </w:rPr>
        <w:t>43(2):130-</w:t>
      </w:r>
      <w:r>
        <w:rPr>
          <w:rFonts w:ascii="Times New Roman" w:eastAsia="宋体" w:hAnsi="Times New Roman" w:cs="Times New Roman" w:hint="eastAsia"/>
          <w:sz w:val="22"/>
          <w:szCs w:val="22"/>
        </w:rPr>
        <w:t>13</w:t>
      </w:r>
      <w:r w:rsidRPr="003E7BE2">
        <w:rPr>
          <w:rFonts w:ascii="Times New Roman" w:eastAsia="宋体" w:hAnsi="Times New Roman" w:cs="Times New Roman"/>
          <w:sz w:val="22"/>
          <w:szCs w:val="22"/>
        </w:rPr>
        <w:t>7.</w:t>
      </w:r>
    </w:p>
    <w:p w:rsidR="00914FFE" w:rsidRDefault="00CF4ADA"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6</w:t>
      </w:r>
      <w:r w:rsidR="0089245E">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国家药品监督管理局药品审评中心</w:t>
      </w:r>
      <w:r>
        <w:rPr>
          <w:rFonts w:ascii="Times New Roman" w:eastAsia="宋体" w:hAnsi="Times New Roman" w:cs="Times New Roman" w:hint="eastAsia"/>
          <w:sz w:val="22"/>
          <w:szCs w:val="22"/>
        </w:rPr>
        <w:t xml:space="preserve">. </w:t>
      </w:r>
      <w:r>
        <w:rPr>
          <w:rFonts w:ascii="Times New Roman" w:eastAsia="宋体" w:hAnsi="Times New Roman" w:cs="Times New Roman" w:hint="eastAsia"/>
          <w:sz w:val="22"/>
          <w:szCs w:val="22"/>
        </w:rPr>
        <w:t>抗肿瘤药物临床试验终点技术指导原则</w:t>
      </w:r>
      <w:r>
        <w:rPr>
          <w:rFonts w:ascii="Times New Roman" w:eastAsia="宋体" w:hAnsi="Times New Roman" w:cs="Times New Roman" w:hint="eastAsia"/>
          <w:sz w:val="22"/>
          <w:szCs w:val="22"/>
        </w:rPr>
        <w:t xml:space="preserve">[EB/OL]. (2012-05-15) [2022-05-06]. </w:t>
      </w:r>
      <w:hyperlink r:id="rId10" w:history="1">
        <w:r w:rsidR="00DB5BA0" w:rsidRPr="006C73EF">
          <w:rPr>
            <w:rStyle w:val="a9"/>
            <w:rFonts w:ascii="Times New Roman" w:eastAsia="宋体" w:hAnsi="Times New Roman" w:cs="Times New Roman"/>
            <w:sz w:val="22"/>
            <w:szCs w:val="22"/>
          </w:rPr>
          <w:t>https://www.cde.org.cn/zdyz/domesticinfopage?zdyzIdCODE=24d174aa6995cf17e7aa12d6aa0317aa</w:t>
        </w:r>
      </w:hyperlink>
      <w:r>
        <w:rPr>
          <w:rFonts w:ascii="Times New Roman" w:eastAsia="宋体" w:hAnsi="Times New Roman" w:cs="Times New Roman" w:hint="eastAsia"/>
          <w:sz w:val="22"/>
          <w:szCs w:val="22"/>
        </w:rPr>
        <w:t>.</w:t>
      </w:r>
    </w:p>
    <w:p w:rsidR="00914FFE" w:rsidRDefault="0089245E" w:rsidP="00F22B0A">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 xml:space="preserve">7. </w:t>
      </w:r>
      <w:proofErr w:type="spellStart"/>
      <w:r w:rsidR="00783C09">
        <w:rPr>
          <w:rFonts w:ascii="Times New Roman" w:eastAsia="宋体" w:hAnsi="Times New Roman" w:cs="Times New Roman"/>
          <w:sz w:val="22"/>
          <w:szCs w:val="22"/>
        </w:rPr>
        <w:t>Hallek</w:t>
      </w:r>
      <w:proofErr w:type="spellEnd"/>
      <w:r w:rsidR="00783C09">
        <w:rPr>
          <w:rFonts w:ascii="Times New Roman" w:eastAsia="宋体" w:hAnsi="Times New Roman" w:cs="Times New Roman" w:hint="eastAsia"/>
          <w:sz w:val="22"/>
          <w:szCs w:val="22"/>
        </w:rPr>
        <w:t xml:space="preserve"> M.</w:t>
      </w:r>
      <w:r w:rsidR="00783C09" w:rsidRPr="00783C09">
        <w:rPr>
          <w:rFonts w:ascii="Times New Roman" w:eastAsia="宋体" w:hAnsi="Times New Roman" w:cs="Times New Roman"/>
          <w:sz w:val="22"/>
          <w:szCs w:val="22"/>
        </w:rPr>
        <w:t xml:space="preserve">, </w:t>
      </w:r>
      <w:proofErr w:type="spellStart"/>
      <w:r w:rsidR="00783C09" w:rsidRPr="00783C09">
        <w:rPr>
          <w:rFonts w:ascii="Times New Roman" w:eastAsia="宋体" w:hAnsi="Times New Roman" w:cs="Times New Roman"/>
          <w:sz w:val="22"/>
          <w:szCs w:val="22"/>
        </w:rPr>
        <w:t>Cheson</w:t>
      </w:r>
      <w:proofErr w:type="spellEnd"/>
      <w:r w:rsidR="00783C09" w:rsidRPr="00783C09">
        <w:rPr>
          <w:rFonts w:ascii="Times New Roman" w:eastAsia="宋体" w:hAnsi="Times New Roman" w:cs="Times New Roman"/>
          <w:sz w:val="22"/>
          <w:szCs w:val="22"/>
        </w:rPr>
        <w:t xml:space="preserve"> </w:t>
      </w:r>
      <w:r w:rsidR="00783C09">
        <w:rPr>
          <w:rFonts w:ascii="Times New Roman" w:eastAsia="宋体" w:hAnsi="Times New Roman" w:cs="Times New Roman" w:hint="eastAsia"/>
          <w:sz w:val="22"/>
          <w:szCs w:val="22"/>
        </w:rPr>
        <w:t>B.D.</w:t>
      </w:r>
      <w:r w:rsidR="00783C09" w:rsidRPr="00783C09">
        <w:rPr>
          <w:rFonts w:ascii="Times New Roman" w:eastAsia="宋体" w:hAnsi="Times New Roman" w:cs="Times New Roman"/>
          <w:sz w:val="22"/>
          <w:szCs w:val="22"/>
        </w:rPr>
        <w:t xml:space="preserve">, Daniel </w:t>
      </w:r>
      <w:proofErr w:type="spellStart"/>
      <w:r w:rsidR="00783C09" w:rsidRPr="00783C09">
        <w:rPr>
          <w:rFonts w:ascii="Times New Roman" w:eastAsia="宋体" w:hAnsi="Times New Roman" w:cs="Times New Roman"/>
          <w:sz w:val="22"/>
          <w:szCs w:val="22"/>
        </w:rPr>
        <w:t>Catovsky</w:t>
      </w:r>
      <w:proofErr w:type="spellEnd"/>
      <w:r w:rsidR="00783C09">
        <w:rPr>
          <w:rFonts w:ascii="Times New Roman" w:eastAsia="宋体" w:hAnsi="Times New Roman" w:cs="Times New Roman" w:hint="eastAsia"/>
          <w:sz w:val="22"/>
          <w:szCs w:val="22"/>
        </w:rPr>
        <w:t xml:space="preserve"> D., et </w:t>
      </w:r>
      <w:proofErr w:type="spellStart"/>
      <w:proofErr w:type="gramStart"/>
      <w:r w:rsidR="00783C09">
        <w:rPr>
          <w:rFonts w:ascii="Times New Roman" w:eastAsia="宋体" w:hAnsi="Times New Roman" w:cs="Times New Roman" w:hint="eastAsia"/>
          <w:sz w:val="22"/>
          <w:szCs w:val="22"/>
        </w:rPr>
        <w:t>al.</w:t>
      </w:r>
      <w:r w:rsidR="00DA5F79" w:rsidRPr="00DA5F79">
        <w:rPr>
          <w:rFonts w:ascii="Times New Roman" w:eastAsia="宋体" w:hAnsi="Times New Roman" w:cs="Times New Roman"/>
          <w:sz w:val="22"/>
          <w:szCs w:val="22"/>
        </w:rPr>
        <w:t>iwCLL</w:t>
      </w:r>
      <w:proofErr w:type="spellEnd"/>
      <w:proofErr w:type="gramEnd"/>
      <w:r w:rsidR="00DA5F79" w:rsidRPr="00DA5F79">
        <w:rPr>
          <w:rFonts w:ascii="Times New Roman" w:eastAsia="宋体" w:hAnsi="Times New Roman" w:cs="Times New Roman"/>
          <w:sz w:val="22"/>
          <w:szCs w:val="22"/>
        </w:rPr>
        <w:t xml:space="preserve"> guidelines for diagnosis, indications for treatment, response assessment, and supportive management of CLL</w:t>
      </w:r>
      <w:r w:rsidR="00F22B0A">
        <w:rPr>
          <w:rFonts w:ascii="Times New Roman" w:eastAsia="宋体" w:hAnsi="Times New Roman" w:cs="Times New Roman" w:hint="eastAsia"/>
          <w:sz w:val="22"/>
          <w:szCs w:val="22"/>
        </w:rPr>
        <w:t>[J]</w:t>
      </w:r>
      <w:r w:rsidR="00DA5F79">
        <w:rPr>
          <w:rFonts w:ascii="Times New Roman" w:eastAsia="宋体" w:hAnsi="Times New Roman" w:cs="Times New Roman" w:hint="eastAsia"/>
          <w:sz w:val="22"/>
          <w:szCs w:val="22"/>
        </w:rPr>
        <w:t>.</w:t>
      </w:r>
      <w:r w:rsidR="00F22B0A" w:rsidRPr="00F22B0A">
        <w:rPr>
          <w:rFonts w:ascii="Times New Roman" w:eastAsia="宋体" w:hAnsi="Times New Roman" w:cs="Times New Roman"/>
          <w:sz w:val="22"/>
          <w:szCs w:val="22"/>
        </w:rPr>
        <w:t>Blood. 2018</w:t>
      </w:r>
      <w:r w:rsidR="00F22B0A">
        <w:rPr>
          <w:rFonts w:ascii="Times New Roman" w:eastAsia="宋体" w:hAnsi="Times New Roman" w:cs="Times New Roman" w:hint="eastAsia"/>
          <w:sz w:val="22"/>
          <w:szCs w:val="22"/>
        </w:rPr>
        <w:t xml:space="preserve">, </w:t>
      </w:r>
      <w:r w:rsidR="00F22B0A" w:rsidRPr="00F22B0A">
        <w:rPr>
          <w:rFonts w:ascii="Times New Roman" w:eastAsia="宋体" w:hAnsi="Times New Roman" w:cs="Times New Roman"/>
          <w:sz w:val="22"/>
          <w:szCs w:val="22"/>
        </w:rPr>
        <w:t>131(25):2745-2760.</w:t>
      </w:r>
    </w:p>
    <w:p w:rsidR="008277ED" w:rsidRPr="008277ED" w:rsidRDefault="008277ED" w:rsidP="008277ED">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 xml:space="preserve">8. </w:t>
      </w:r>
      <w:proofErr w:type="spellStart"/>
      <w:r w:rsidRPr="008277ED">
        <w:rPr>
          <w:rFonts w:ascii="Times New Roman" w:eastAsia="宋体" w:hAnsi="Times New Roman" w:cs="Times New Roman"/>
          <w:sz w:val="22"/>
          <w:szCs w:val="22"/>
        </w:rPr>
        <w:t>Wierda</w:t>
      </w:r>
      <w:proofErr w:type="spellEnd"/>
      <w:r w:rsidRPr="008277ED">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W.G.</w:t>
      </w:r>
      <w:r w:rsidRPr="008277ED">
        <w:rPr>
          <w:rFonts w:ascii="Times New Roman" w:eastAsia="宋体" w:hAnsi="Times New Roman" w:cs="Times New Roman"/>
          <w:sz w:val="22"/>
          <w:szCs w:val="22"/>
        </w:rPr>
        <w:t xml:space="preserve">, </w:t>
      </w:r>
      <w:proofErr w:type="spellStart"/>
      <w:r w:rsidRPr="008277ED">
        <w:rPr>
          <w:rFonts w:ascii="Times New Roman" w:eastAsia="宋体" w:hAnsi="Times New Roman" w:cs="Times New Roman"/>
          <w:sz w:val="22"/>
          <w:szCs w:val="22"/>
        </w:rPr>
        <w:t>Rawstron</w:t>
      </w:r>
      <w:proofErr w:type="spellEnd"/>
      <w:r w:rsidRPr="008277ED">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A.</w:t>
      </w:r>
      <w:r w:rsidRPr="008277ED">
        <w:rPr>
          <w:rFonts w:ascii="Times New Roman" w:eastAsia="宋体" w:hAnsi="Times New Roman" w:cs="Times New Roman"/>
          <w:sz w:val="22"/>
          <w:szCs w:val="22"/>
        </w:rPr>
        <w:t xml:space="preserve">, </w:t>
      </w:r>
      <w:proofErr w:type="spellStart"/>
      <w:r w:rsidRPr="008277ED">
        <w:rPr>
          <w:rFonts w:ascii="Times New Roman" w:eastAsia="宋体" w:hAnsi="Times New Roman" w:cs="Times New Roman"/>
          <w:sz w:val="22"/>
          <w:szCs w:val="22"/>
        </w:rPr>
        <w:t>Cymbalista</w:t>
      </w:r>
      <w:proofErr w:type="spellEnd"/>
      <w:r>
        <w:rPr>
          <w:rFonts w:ascii="Times New Roman" w:eastAsia="宋体" w:hAnsi="Times New Roman" w:cs="Times New Roman" w:hint="eastAsia"/>
          <w:sz w:val="22"/>
          <w:szCs w:val="22"/>
        </w:rPr>
        <w:t xml:space="preserve"> F., et </w:t>
      </w:r>
      <w:proofErr w:type="spellStart"/>
      <w:proofErr w:type="gramStart"/>
      <w:r>
        <w:rPr>
          <w:rFonts w:ascii="Times New Roman" w:eastAsia="宋体" w:hAnsi="Times New Roman" w:cs="Times New Roman" w:hint="eastAsia"/>
          <w:sz w:val="22"/>
          <w:szCs w:val="22"/>
        </w:rPr>
        <w:t>al.</w:t>
      </w:r>
      <w:r w:rsidRPr="008277ED">
        <w:rPr>
          <w:rFonts w:ascii="Times New Roman" w:eastAsia="宋体" w:hAnsi="Times New Roman" w:cs="Times New Roman"/>
          <w:sz w:val="22"/>
          <w:szCs w:val="22"/>
        </w:rPr>
        <w:t>Measurable</w:t>
      </w:r>
      <w:proofErr w:type="spellEnd"/>
      <w:proofErr w:type="gramEnd"/>
      <w:r w:rsidRPr="008277ED">
        <w:rPr>
          <w:rFonts w:ascii="Times New Roman" w:eastAsia="宋体" w:hAnsi="Times New Roman" w:cs="Times New Roman"/>
          <w:sz w:val="22"/>
          <w:szCs w:val="22"/>
        </w:rPr>
        <w:t xml:space="preserve"> residual disease in chronic lymphocytic leukemia: expert review and consensus recommendations</w:t>
      </w:r>
      <w:r>
        <w:rPr>
          <w:rFonts w:ascii="Times New Roman" w:eastAsia="宋体" w:hAnsi="Times New Roman" w:cs="Times New Roman" w:hint="eastAsia"/>
          <w:sz w:val="22"/>
          <w:szCs w:val="22"/>
        </w:rPr>
        <w:t xml:space="preserve">[J]. </w:t>
      </w:r>
      <w:r w:rsidRPr="008277ED">
        <w:rPr>
          <w:rFonts w:ascii="Times New Roman" w:eastAsia="宋体" w:hAnsi="Times New Roman" w:cs="Times New Roman"/>
          <w:sz w:val="22"/>
          <w:szCs w:val="22"/>
        </w:rPr>
        <w:t>Leukemia</w:t>
      </w:r>
      <w:r>
        <w:rPr>
          <w:rFonts w:ascii="Times New Roman" w:eastAsia="宋体" w:hAnsi="Times New Roman" w:cs="Times New Roman"/>
          <w:sz w:val="22"/>
          <w:szCs w:val="22"/>
        </w:rPr>
        <w:t>. 2021</w:t>
      </w:r>
      <w:r>
        <w:rPr>
          <w:rFonts w:ascii="Times New Roman" w:eastAsia="宋体" w:hAnsi="Times New Roman" w:cs="Times New Roman" w:hint="eastAsia"/>
          <w:sz w:val="22"/>
          <w:szCs w:val="22"/>
        </w:rPr>
        <w:t xml:space="preserve">, </w:t>
      </w:r>
      <w:r w:rsidRPr="008277ED">
        <w:rPr>
          <w:rFonts w:ascii="Times New Roman" w:eastAsia="宋体" w:hAnsi="Times New Roman" w:cs="Times New Roman"/>
          <w:sz w:val="22"/>
          <w:szCs w:val="22"/>
        </w:rPr>
        <w:t>35(11):3059-3072.</w:t>
      </w:r>
    </w:p>
    <w:p w:rsidR="00914FFE" w:rsidRDefault="008277ED"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9</w:t>
      </w:r>
      <w:r w:rsidR="00DB5BA0">
        <w:rPr>
          <w:rFonts w:ascii="Times New Roman" w:eastAsia="宋体" w:hAnsi="Times New Roman" w:cs="Times New Roman" w:hint="eastAsia"/>
          <w:sz w:val="22"/>
          <w:szCs w:val="22"/>
        </w:rPr>
        <w:t xml:space="preserve">. </w:t>
      </w:r>
      <w:r w:rsidR="00DB5BA0">
        <w:rPr>
          <w:rFonts w:ascii="Times New Roman" w:eastAsia="宋体" w:hAnsi="Times New Roman" w:cs="Times New Roman" w:hint="eastAsia"/>
          <w:sz w:val="22"/>
          <w:szCs w:val="22"/>
        </w:rPr>
        <w:t>国家药品监督管理局药品审评中心</w:t>
      </w:r>
      <w:r w:rsidR="00DB5BA0">
        <w:rPr>
          <w:rFonts w:ascii="Times New Roman" w:eastAsia="宋体" w:hAnsi="Times New Roman" w:cs="Times New Roman" w:hint="eastAsia"/>
          <w:sz w:val="22"/>
          <w:szCs w:val="22"/>
        </w:rPr>
        <w:t xml:space="preserve">. </w:t>
      </w:r>
      <w:r w:rsidR="00DB5BA0">
        <w:rPr>
          <w:rFonts w:ascii="Times New Roman" w:eastAsia="宋体" w:hAnsi="Times New Roman" w:cs="Times New Roman" w:hint="eastAsia"/>
          <w:sz w:val="22"/>
          <w:szCs w:val="22"/>
        </w:rPr>
        <w:t>患者报告结局在药物临床研究中应用的指导原则（试行）</w:t>
      </w:r>
      <w:r w:rsidR="00DB5BA0">
        <w:rPr>
          <w:rFonts w:ascii="Times New Roman" w:eastAsia="宋体" w:hAnsi="Times New Roman" w:cs="Times New Roman" w:hint="eastAsia"/>
          <w:sz w:val="22"/>
          <w:szCs w:val="22"/>
        </w:rPr>
        <w:t xml:space="preserve">[EB/OL]. </w:t>
      </w:r>
      <w:r w:rsidR="00DB5BA0">
        <w:rPr>
          <w:rFonts w:ascii="Times New Roman" w:eastAsia="宋体" w:hAnsi="Times New Roman" w:cs="Times New Roman" w:hint="eastAsia"/>
          <w:sz w:val="22"/>
          <w:szCs w:val="22"/>
        </w:rPr>
        <w:t>（</w:t>
      </w:r>
      <w:r w:rsidR="00DB5BA0">
        <w:rPr>
          <w:rFonts w:ascii="Times New Roman" w:eastAsia="宋体" w:hAnsi="Times New Roman" w:cs="Times New Roman" w:hint="eastAsia"/>
          <w:sz w:val="22"/>
          <w:szCs w:val="22"/>
        </w:rPr>
        <w:t>2021-12-27</w:t>
      </w:r>
      <w:r w:rsidR="00DB5BA0">
        <w:rPr>
          <w:rFonts w:ascii="Times New Roman" w:eastAsia="宋体" w:hAnsi="Times New Roman" w:cs="Times New Roman" w:hint="eastAsia"/>
          <w:sz w:val="22"/>
          <w:szCs w:val="22"/>
        </w:rPr>
        <w:t>）</w:t>
      </w:r>
      <w:r w:rsidR="00DB5BA0">
        <w:rPr>
          <w:rFonts w:ascii="Times New Roman" w:eastAsia="宋体" w:hAnsi="Times New Roman" w:cs="Times New Roman" w:hint="eastAsia"/>
          <w:sz w:val="22"/>
          <w:szCs w:val="22"/>
        </w:rPr>
        <w:t xml:space="preserve">[2022-05-06]. </w:t>
      </w:r>
      <w:hyperlink r:id="rId11" w:history="1">
        <w:r w:rsidR="00DB5BA0" w:rsidRPr="006C73EF">
          <w:rPr>
            <w:rStyle w:val="a9"/>
            <w:rFonts w:ascii="Times New Roman" w:eastAsia="宋体" w:hAnsi="Times New Roman" w:cs="Times New Roman"/>
            <w:sz w:val="22"/>
            <w:szCs w:val="22"/>
          </w:rPr>
          <w:t>https://www.cde.org.cn/main/news/viewInfoCommon/c2f79c22e8678241b030c71523eb300c</w:t>
        </w:r>
      </w:hyperlink>
      <w:r w:rsidR="00DB5BA0">
        <w:rPr>
          <w:rFonts w:ascii="Times New Roman" w:eastAsia="宋体" w:hAnsi="Times New Roman" w:cs="Times New Roman" w:hint="eastAsia"/>
          <w:sz w:val="22"/>
          <w:szCs w:val="22"/>
        </w:rPr>
        <w:t>.</w:t>
      </w:r>
    </w:p>
    <w:p w:rsidR="00DB5BA0" w:rsidRDefault="00902D14" w:rsidP="001871DC">
      <w:pPr>
        <w:spacing w:line="360" w:lineRule="auto"/>
        <w:jc w:val="left"/>
        <w:rPr>
          <w:rFonts w:ascii="Times New Roman" w:eastAsia="宋体" w:hAnsi="Times New Roman" w:cs="Times New Roman"/>
          <w:sz w:val="22"/>
          <w:szCs w:val="22"/>
        </w:rPr>
      </w:pPr>
      <w:r>
        <w:rPr>
          <w:rFonts w:ascii="Times New Roman" w:eastAsia="宋体" w:hAnsi="Times New Roman" w:cs="Times New Roman" w:hint="eastAsia"/>
          <w:sz w:val="22"/>
          <w:szCs w:val="22"/>
        </w:rPr>
        <w:t xml:space="preserve">10. FDA. </w:t>
      </w:r>
      <w:r w:rsidRPr="00902D14">
        <w:rPr>
          <w:rFonts w:ascii="Times New Roman" w:eastAsia="宋体" w:hAnsi="Times New Roman" w:cs="Times New Roman"/>
          <w:sz w:val="22"/>
          <w:szCs w:val="22"/>
        </w:rPr>
        <w:t>Table of Surrogate Endpoints That Were the Basis of Drug Approval or Licensure</w:t>
      </w:r>
      <w:r>
        <w:rPr>
          <w:rFonts w:ascii="Times New Roman" w:eastAsia="宋体" w:hAnsi="Times New Roman" w:cs="Times New Roman" w:hint="eastAsia"/>
          <w:sz w:val="22"/>
          <w:szCs w:val="22"/>
        </w:rPr>
        <w:t xml:space="preserve">[EB/OL]. </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2022-02-28</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 xml:space="preserve">[2022-05-06]. </w:t>
      </w:r>
      <w:hyperlink r:id="rId12" w:history="1">
        <w:r w:rsidRPr="006C73EF">
          <w:rPr>
            <w:rStyle w:val="a9"/>
            <w:rFonts w:ascii="Times New Roman" w:eastAsia="宋体" w:hAnsi="Times New Roman" w:cs="Times New Roman"/>
            <w:sz w:val="22"/>
            <w:szCs w:val="22"/>
          </w:rPr>
          <w:t>https://www.fda.gov/drugs/development-resources/table-surrogate-endpoints-were-basis-drug-approval-or-licensure</w:t>
        </w:r>
      </w:hyperlink>
      <w:r>
        <w:rPr>
          <w:rFonts w:ascii="Times New Roman" w:eastAsia="宋体" w:hAnsi="Times New Roman" w:cs="Times New Roman" w:hint="eastAsia"/>
          <w:sz w:val="22"/>
          <w:szCs w:val="22"/>
        </w:rPr>
        <w:t>.</w:t>
      </w:r>
    </w:p>
    <w:p w:rsidR="000A2926" w:rsidRDefault="000A2926" w:rsidP="00B21D72">
      <w:pPr>
        <w:pStyle w:val="aa"/>
        <w:spacing w:line="360" w:lineRule="auto"/>
        <w:ind w:firstLineChars="0" w:firstLine="0"/>
        <w:rPr>
          <w:rFonts w:ascii="Times New Roman" w:eastAsia="宋体" w:hAnsi="Times New Roman" w:cs="Times New Roman"/>
          <w:sz w:val="22"/>
          <w:szCs w:val="22"/>
        </w:rPr>
      </w:pPr>
    </w:p>
    <w:sectPr w:rsidR="000A2926" w:rsidSect="00257B87">
      <w:pgSz w:w="11906" w:h="16838"/>
      <w:pgMar w:top="1440" w:right="1800" w:bottom="1440" w:left="1800" w:header="851" w:footer="992" w:gutter="0"/>
      <w:lnNumType w:countBy="1" w:restart="continuous"/>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BDD0" w16cex:dateUtc="2022-05-12T09:09:00Z"/>
  <w16cex:commentExtensible w16cex:durableId="2627BF14" w16cex:dateUtc="2022-05-12T09:15:00Z"/>
  <w16cex:commentExtensible w16cex:durableId="2627BFCB" w16cex:dateUtc="2022-05-12T09:18:00Z"/>
  <w16cex:commentExtensible w16cex:durableId="2627C13D" w16cex:dateUtc="2022-05-12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454EC" w16cid:durableId="2627BDD0"/>
  <w16cid:commentId w16cid:paraId="588B520A" w16cid:durableId="2627BF14"/>
  <w16cid:commentId w16cid:paraId="358B88AE" w16cid:durableId="2627BFCB"/>
  <w16cid:commentId w16cid:paraId="5444B94F" w16cid:durableId="2627C1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78" w:rsidRDefault="00CC3378" w:rsidP="002B17C0">
      <w:r>
        <w:separator/>
      </w:r>
    </w:p>
  </w:endnote>
  <w:endnote w:type="continuationSeparator" w:id="0">
    <w:p w:rsidR="00CC3378" w:rsidRDefault="00CC3378" w:rsidP="002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030678"/>
      <w:docPartObj>
        <w:docPartGallery w:val="Page Numbers (Bottom of Page)"/>
        <w:docPartUnique/>
      </w:docPartObj>
    </w:sdtPr>
    <w:sdtEndPr>
      <w:rPr>
        <w:rFonts w:ascii="等线" w:eastAsia="等线" w:hAnsi="等线"/>
        <w:sz w:val="28"/>
        <w:szCs w:val="28"/>
      </w:rPr>
    </w:sdtEndPr>
    <w:sdtContent>
      <w:p w:rsidR="00095FB6" w:rsidRPr="00EE05B0" w:rsidRDefault="005467DB">
        <w:pPr>
          <w:pStyle w:val="a4"/>
          <w:jc w:val="center"/>
          <w:rPr>
            <w:rFonts w:ascii="等线" w:eastAsia="等线" w:hAnsi="等线"/>
            <w:sz w:val="28"/>
            <w:szCs w:val="28"/>
          </w:rPr>
        </w:pPr>
        <w:r w:rsidRPr="00EE05B0">
          <w:rPr>
            <w:rFonts w:ascii="等线" w:eastAsia="等线" w:hAnsi="等线"/>
            <w:sz w:val="28"/>
            <w:szCs w:val="28"/>
          </w:rPr>
          <w:fldChar w:fldCharType="begin"/>
        </w:r>
        <w:r w:rsidR="00095FB6" w:rsidRPr="00EE05B0">
          <w:rPr>
            <w:rFonts w:ascii="等线" w:eastAsia="等线" w:hAnsi="等线"/>
            <w:sz w:val="28"/>
            <w:szCs w:val="28"/>
          </w:rPr>
          <w:instrText>PAGE   \* MERGEFORMAT</w:instrText>
        </w:r>
        <w:r w:rsidRPr="00EE05B0">
          <w:rPr>
            <w:rFonts w:ascii="等线" w:eastAsia="等线" w:hAnsi="等线"/>
            <w:sz w:val="28"/>
            <w:szCs w:val="28"/>
          </w:rPr>
          <w:fldChar w:fldCharType="separate"/>
        </w:r>
        <w:r w:rsidR="00AB23DB" w:rsidRPr="00AB23DB">
          <w:rPr>
            <w:rFonts w:ascii="等线" w:eastAsia="等线" w:hAnsi="等线"/>
            <w:noProof/>
            <w:sz w:val="28"/>
            <w:szCs w:val="28"/>
            <w:lang w:val="zh-CN"/>
          </w:rPr>
          <w:t>19</w:t>
        </w:r>
        <w:r w:rsidRPr="00EE05B0">
          <w:rPr>
            <w:rFonts w:ascii="等线" w:eastAsia="等线" w:hAnsi="等线"/>
            <w:sz w:val="28"/>
            <w:szCs w:val="28"/>
          </w:rPr>
          <w:fldChar w:fldCharType="end"/>
        </w:r>
      </w:p>
    </w:sdtContent>
  </w:sdt>
  <w:p w:rsidR="00095FB6" w:rsidRDefault="00095FB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78" w:rsidRDefault="00CC3378" w:rsidP="002B17C0">
      <w:r>
        <w:separator/>
      </w:r>
    </w:p>
  </w:footnote>
  <w:footnote w:type="continuationSeparator" w:id="0">
    <w:p w:rsidR="00CC3378" w:rsidRDefault="00CC3378" w:rsidP="002B1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14715"/>
    <w:multiLevelType w:val="singleLevel"/>
    <w:tmpl w:val="84814715"/>
    <w:lvl w:ilvl="0">
      <w:start w:val="1"/>
      <w:numFmt w:val="bullet"/>
      <w:lvlText w:val=""/>
      <w:lvlJc w:val="left"/>
      <w:pPr>
        <w:ind w:left="420" w:hanging="420"/>
      </w:pPr>
      <w:rPr>
        <w:rFonts w:ascii="Wingdings" w:hAnsi="Wingdings" w:hint="default"/>
      </w:rPr>
    </w:lvl>
  </w:abstractNum>
  <w:abstractNum w:abstractNumId="1" w15:restartNumberingAfterBreak="0">
    <w:nsid w:val="913E4DB5"/>
    <w:multiLevelType w:val="singleLevel"/>
    <w:tmpl w:val="913E4DB5"/>
    <w:lvl w:ilvl="0">
      <w:start w:val="3"/>
      <w:numFmt w:val="chineseCounting"/>
      <w:suff w:val="nothing"/>
      <w:lvlText w:val="%1、"/>
      <w:lvlJc w:val="left"/>
      <w:rPr>
        <w:rFonts w:hint="eastAsia"/>
      </w:rPr>
    </w:lvl>
  </w:abstractNum>
  <w:abstractNum w:abstractNumId="2" w15:restartNumberingAfterBreak="0">
    <w:nsid w:val="C4C3FAB3"/>
    <w:multiLevelType w:val="singleLevel"/>
    <w:tmpl w:val="C4C3FAB3"/>
    <w:lvl w:ilvl="0">
      <w:start w:val="1"/>
      <w:numFmt w:val="decimal"/>
      <w:suff w:val="nothing"/>
      <w:lvlText w:val="%1、"/>
      <w:lvlJc w:val="left"/>
    </w:lvl>
  </w:abstractNum>
  <w:abstractNum w:abstractNumId="3" w15:restartNumberingAfterBreak="0">
    <w:nsid w:val="1EF52DDC"/>
    <w:multiLevelType w:val="singleLevel"/>
    <w:tmpl w:val="1EF52DDC"/>
    <w:lvl w:ilvl="0">
      <w:start w:val="1"/>
      <w:numFmt w:val="decimal"/>
      <w:suff w:val="nothing"/>
      <w:lvlText w:val="%1、"/>
      <w:lvlJc w:val="left"/>
    </w:lvl>
  </w:abstractNum>
  <w:abstractNum w:abstractNumId="4" w15:restartNumberingAfterBreak="0">
    <w:nsid w:val="57B4740D"/>
    <w:multiLevelType w:val="singleLevel"/>
    <w:tmpl w:val="57B4740D"/>
    <w:lvl w:ilvl="0">
      <w:start w:val="1"/>
      <w:numFmt w:val="bullet"/>
      <w:lvlText w:val=""/>
      <w:lvlJc w:val="left"/>
      <w:pPr>
        <w:ind w:left="420" w:hanging="420"/>
      </w:pPr>
      <w:rPr>
        <w:rFonts w:ascii="Wingdings" w:hAnsi="Wingdings" w:hint="default"/>
      </w:rPr>
    </w:lvl>
  </w:abstractNum>
  <w:abstractNum w:abstractNumId="5" w15:restartNumberingAfterBreak="0">
    <w:nsid w:val="5F0D3042"/>
    <w:multiLevelType w:val="multilevel"/>
    <w:tmpl w:val="5F0D304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7C7A29E6"/>
    <w:multiLevelType w:val="multilevel"/>
    <w:tmpl w:val="296EC45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D9"/>
    <w:rsid w:val="000010BF"/>
    <w:rsid w:val="00001706"/>
    <w:rsid w:val="000022E2"/>
    <w:rsid w:val="00016B72"/>
    <w:rsid w:val="00016D17"/>
    <w:rsid w:val="00017C5B"/>
    <w:rsid w:val="00020473"/>
    <w:rsid w:val="00021494"/>
    <w:rsid w:val="000255B6"/>
    <w:rsid w:val="00027D36"/>
    <w:rsid w:val="0003369D"/>
    <w:rsid w:val="000360B3"/>
    <w:rsid w:val="00037E18"/>
    <w:rsid w:val="0004111E"/>
    <w:rsid w:val="00050840"/>
    <w:rsid w:val="000563ED"/>
    <w:rsid w:val="00064DCE"/>
    <w:rsid w:val="00066B56"/>
    <w:rsid w:val="00074203"/>
    <w:rsid w:val="0007535B"/>
    <w:rsid w:val="00076D67"/>
    <w:rsid w:val="0008195D"/>
    <w:rsid w:val="00082E5B"/>
    <w:rsid w:val="0008413C"/>
    <w:rsid w:val="00084E56"/>
    <w:rsid w:val="00091696"/>
    <w:rsid w:val="00095FB6"/>
    <w:rsid w:val="00096B25"/>
    <w:rsid w:val="000A2926"/>
    <w:rsid w:val="000A2DCA"/>
    <w:rsid w:val="000A6974"/>
    <w:rsid w:val="000A6F50"/>
    <w:rsid w:val="000B1A49"/>
    <w:rsid w:val="000B2FFF"/>
    <w:rsid w:val="000B38F0"/>
    <w:rsid w:val="000B6596"/>
    <w:rsid w:val="000C25E3"/>
    <w:rsid w:val="000C39A0"/>
    <w:rsid w:val="000C3B1D"/>
    <w:rsid w:val="000C6941"/>
    <w:rsid w:val="000D2D47"/>
    <w:rsid w:val="000D782D"/>
    <w:rsid w:val="000E3B07"/>
    <w:rsid w:val="000E68AE"/>
    <w:rsid w:val="000F4D5B"/>
    <w:rsid w:val="000F6A42"/>
    <w:rsid w:val="00104ADA"/>
    <w:rsid w:val="00110180"/>
    <w:rsid w:val="0011203A"/>
    <w:rsid w:val="001122ED"/>
    <w:rsid w:val="001148A1"/>
    <w:rsid w:val="00121328"/>
    <w:rsid w:val="001217B8"/>
    <w:rsid w:val="001223BA"/>
    <w:rsid w:val="0012545D"/>
    <w:rsid w:val="001264B8"/>
    <w:rsid w:val="001268EC"/>
    <w:rsid w:val="0013245A"/>
    <w:rsid w:val="00137291"/>
    <w:rsid w:val="00157206"/>
    <w:rsid w:val="001575B3"/>
    <w:rsid w:val="001630C4"/>
    <w:rsid w:val="00167FE9"/>
    <w:rsid w:val="0017058F"/>
    <w:rsid w:val="00181932"/>
    <w:rsid w:val="00183FF9"/>
    <w:rsid w:val="0018442A"/>
    <w:rsid w:val="00184C2D"/>
    <w:rsid w:val="001871DC"/>
    <w:rsid w:val="0018746E"/>
    <w:rsid w:val="00195A6E"/>
    <w:rsid w:val="00196BBB"/>
    <w:rsid w:val="001A08A2"/>
    <w:rsid w:val="001A33AC"/>
    <w:rsid w:val="001A4734"/>
    <w:rsid w:val="001B0617"/>
    <w:rsid w:val="001B2755"/>
    <w:rsid w:val="001B6CF0"/>
    <w:rsid w:val="001C0605"/>
    <w:rsid w:val="001C3BD2"/>
    <w:rsid w:val="001C7132"/>
    <w:rsid w:val="001C78F0"/>
    <w:rsid w:val="001D389D"/>
    <w:rsid w:val="001D4B37"/>
    <w:rsid w:val="001D6683"/>
    <w:rsid w:val="001E6202"/>
    <w:rsid w:val="001E6A66"/>
    <w:rsid w:val="001F28C0"/>
    <w:rsid w:val="002026D4"/>
    <w:rsid w:val="00203B03"/>
    <w:rsid w:val="002042F3"/>
    <w:rsid w:val="00215C26"/>
    <w:rsid w:val="00220615"/>
    <w:rsid w:val="0022333D"/>
    <w:rsid w:val="002276CC"/>
    <w:rsid w:val="00235172"/>
    <w:rsid w:val="00235C50"/>
    <w:rsid w:val="00235D0A"/>
    <w:rsid w:val="00236AAE"/>
    <w:rsid w:val="00245FB6"/>
    <w:rsid w:val="0025114C"/>
    <w:rsid w:val="00257B87"/>
    <w:rsid w:val="00265D08"/>
    <w:rsid w:val="00272138"/>
    <w:rsid w:val="002724A3"/>
    <w:rsid w:val="00273138"/>
    <w:rsid w:val="00276ED7"/>
    <w:rsid w:val="0028414A"/>
    <w:rsid w:val="00293B83"/>
    <w:rsid w:val="002A3587"/>
    <w:rsid w:val="002A5B4C"/>
    <w:rsid w:val="002A627D"/>
    <w:rsid w:val="002B17C0"/>
    <w:rsid w:val="002B1A88"/>
    <w:rsid w:val="002B2625"/>
    <w:rsid w:val="002C020A"/>
    <w:rsid w:val="002C30EE"/>
    <w:rsid w:val="002C3EE9"/>
    <w:rsid w:val="002C55AC"/>
    <w:rsid w:val="002C66E1"/>
    <w:rsid w:val="002D24E5"/>
    <w:rsid w:val="002E39B8"/>
    <w:rsid w:val="002E3C64"/>
    <w:rsid w:val="002E7B94"/>
    <w:rsid w:val="002F6CDE"/>
    <w:rsid w:val="002F6EBC"/>
    <w:rsid w:val="00305707"/>
    <w:rsid w:val="003065EC"/>
    <w:rsid w:val="00316361"/>
    <w:rsid w:val="0031723D"/>
    <w:rsid w:val="00322B7A"/>
    <w:rsid w:val="0032522C"/>
    <w:rsid w:val="003278CB"/>
    <w:rsid w:val="00330070"/>
    <w:rsid w:val="00330862"/>
    <w:rsid w:val="00337B4E"/>
    <w:rsid w:val="003408A5"/>
    <w:rsid w:val="003454B6"/>
    <w:rsid w:val="0035684E"/>
    <w:rsid w:val="003578F2"/>
    <w:rsid w:val="00377A15"/>
    <w:rsid w:val="0038008B"/>
    <w:rsid w:val="00381D1E"/>
    <w:rsid w:val="00384E40"/>
    <w:rsid w:val="003923BF"/>
    <w:rsid w:val="00395DE7"/>
    <w:rsid w:val="00396FA2"/>
    <w:rsid w:val="003A276B"/>
    <w:rsid w:val="003B361F"/>
    <w:rsid w:val="003B771A"/>
    <w:rsid w:val="003C4939"/>
    <w:rsid w:val="003C6FF2"/>
    <w:rsid w:val="003C79A4"/>
    <w:rsid w:val="003D064F"/>
    <w:rsid w:val="003D3EEB"/>
    <w:rsid w:val="003E3F10"/>
    <w:rsid w:val="003E4B93"/>
    <w:rsid w:val="003E56C7"/>
    <w:rsid w:val="003E6AE7"/>
    <w:rsid w:val="003E7BE2"/>
    <w:rsid w:val="003F145E"/>
    <w:rsid w:val="003F332B"/>
    <w:rsid w:val="003F5B1A"/>
    <w:rsid w:val="003F796B"/>
    <w:rsid w:val="00401066"/>
    <w:rsid w:val="00404A2C"/>
    <w:rsid w:val="00404E5A"/>
    <w:rsid w:val="00405138"/>
    <w:rsid w:val="00414A95"/>
    <w:rsid w:val="00415AB8"/>
    <w:rsid w:val="0041656C"/>
    <w:rsid w:val="00427993"/>
    <w:rsid w:val="00432084"/>
    <w:rsid w:val="0043229C"/>
    <w:rsid w:val="00434C21"/>
    <w:rsid w:val="00435D26"/>
    <w:rsid w:val="00436295"/>
    <w:rsid w:val="00440445"/>
    <w:rsid w:val="00441CFA"/>
    <w:rsid w:val="0044368F"/>
    <w:rsid w:val="00443A07"/>
    <w:rsid w:val="00454147"/>
    <w:rsid w:val="004551EB"/>
    <w:rsid w:val="004654A8"/>
    <w:rsid w:val="00473F88"/>
    <w:rsid w:val="00474ADE"/>
    <w:rsid w:val="00492CF1"/>
    <w:rsid w:val="004A41E4"/>
    <w:rsid w:val="004A5C46"/>
    <w:rsid w:val="004A79F8"/>
    <w:rsid w:val="004B61D8"/>
    <w:rsid w:val="004C3FF9"/>
    <w:rsid w:val="004C415C"/>
    <w:rsid w:val="004D15BC"/>
    <w:rsid w:val="004D50F0"/>
    <w:rsid w:val="004F0034"/>
    <w:rsid w:val="004F2830"/>
    <w:rsid w:val="004F3F6F"/>
    <w:rsid w:val="00506E3D"/>
    <w:rsid w:val="00515A4F"/>
    <w:rsid w:val="00517429"/>
    <w:rsid w:val="0052050E"/>
    <w:rsid w:val="005257FD"/>
    <w:rsid w:val="00527514"/>
    <w:rsid w:val="00531742"/>
    <w:rsid w:val="0053518B"/>
    <w:rsid w:val="0053633E"/>
    <w:rsid w:val="00540696"/>
    <w:rsid w:val="0054560F"/>
    <w:rsid w:val="005467DB"/>
    <w:rsid w:val="00547C07"/>
    <w:rsid w:val="00552E49"/>
    <w:rsid w:val="0057101A"/>
    <w:rsid w:val="00581CB0"/>
    <w:rsid w:val="00582F46"/>
    <w:rsid w:val="00583BE0"/>
    <w:rsid w:val="00596AFD"/>
    <w:rsid w:val="005A0939"/>
    <w:rsid w:val="005A1007"/>
    <w:rsid w:val="005A1B9B"/>
    <w:rsid w:val="005A3AC7"/>
    <w:rsid w:val="005A5460"/>
    <w:rsid w:val="005B17E1"/>
    <w:rsid w:val="005B1C60"/>
    <w:rsid w:val="005B2698"/>
    <w:rsid w:val="005B349C"/>
    <w:rsid w:val="005B466F"/>
    <w:rsid w:val="005B6A82"/>
    <w:rsid w:val="005B7213"/>
    <w:rsid w:val="005C160C"/>
    <w:rsid w:val="005C1E21"/>
    <w:rsid w:val="005D3A28"/>
    <w:rsid w:val="005D6B78"/>
    <w:rsid w:val="005E15CB"/>
    <w:rsid w:val="005E1D9D"/>
    <w:rsid w:val="005E2500"/>
    <w:rsid w:val="005F5FEE"/>
    <w:rsid w:val="005F7DD8"/>
    <w:rsid w:val="00602E82"/>
    <w:rsid w:val="00606DD9"/>
    <w:rsid w:val="00610B19"/>
    <w:rsid w:val="00612E88"/>
    <w:rsid w:val="00614230"/>
    <w:rsid w:val="0061585A"/>
    <w:rsid w:val="00630ACD"/>
    <w:rsid w:val="00633497"/>
    <w:rsid w:val="00645AFA"/>
    <w:rsid w:val="00653A15"/>
    <w:rsid w:val="00663D0A"/>
    <w:rsid w:val="00670A30"/>
    <w:rsid w:val="006816FC"/>
    <w:rsid w:val="0068243B"/>
    <w:rsid w:val="006861E9"/>
    <w:rsid w:val="00692BCC"/>
    <w:rsid w:val="00693344"/>
    <w:rsid w:val="006957E0"/>
    <w:rsid w:val="006A0B47"/>
    <w:rsid w:val="006A3DE1"/>
    <w:rsid w:val="006B5F4D"/>
    <w:rsid w:val="006C6940"/>
    <w:rsid w:val="006C77A6"/>
    <w:rsid w:val="006D7021"/>
    <w:rsid w:val="006F0720"/>
    <w:rsid w:val="006F35A1"/>
    <w:rsid w:val="00703FF9"/>
    <w:rsid w:val="00705B4B"/>
    <w:rsid w:val="00706D38"/>
    <w:rsid w:val="0071139D"/>
    <w:rsid w:val="00715704"/>
    <w:rsid w:val="00717259"/>
    <w:rsid w:val="00717957"/>
    <w:rsid w:val="00720B2A"/>
    <w:rsid w:val="00740A41"/>
    <w:rsid w:val="007433E7"/>
    <w:rsid w:val="00746983"/>
    <w:rsid w:val="00746CB4"/>
    <w:rsid w:val="00750048"/>
    <w:rsid w:val="00750817"/>
    <w:rsid w:val="00752A00"/>
    <w:rsid w:val="00762757"/>
    <w:rsid w:val="0077036E"/>
    <w:rsid w:val="007722B7"/>
    <w:rsid w:val="007732A5"/>
    <w:rsid w:val="00780E58"/>
    <w:rsid w:val="00781C93"/>
    <w:rsid w:val="00783C09"/>
    <w:rsid w:val="00797190"/>
    <w:rsid w:val="007A0D2F"/>
    <w:rsid w:val="007A10D9"/>
    <w:rsid w:val="007A5CED"/>
    <w:rsid w:val="007B246B"/>
    <w:rsid w:val="007B51BF"/>
    <w:rsid w:val="007D2387"/>
    <w:rsid w:val="007D786C"/>
    <w:rsid w:val="007E0775"/>
    <w:rsid w:val="007E13D0"/>
    <w:rsid w:val="007E1637"/>
    <w:rsid w:val="007E5776"/>
    <w:rsid w:val="007F2706"/>
    <w:rsid w:val="007F28D9"/>
    <w:rsid w:val="007F2BD5"/>
    <w:rsid w:val="007F501A"/>
    <w:rsid w:val="00802269"/>
    <w:rsid w:val="008074A2"/>
    <w:rsid w:val="00810F3F"/>
    <w:rsid w:val="00815FE9"/>
    <w:rsid w:val="008167C0"/>
    <w:rsid w:val="0082174E"/>
    <w:rsid w:val="0082281B"/>
    <w:rsid w:val="00823F8D"/>
    <w:rsid w:val="008255C9"/>
    <w:rsid w:val="008277ED"/>
    <w:rsid w:val="008278AA"/>
    <w:rsid w:val="00833FAE"/>
    <w:rsid w:val="0083403A"/>
    <w:rsid w:val="00835937"/>
    <w:rsid w:val="00842E59"/>
    <w:rsid w:val="00853C10"/>
    <w:rsid w:val="00853C87"/>
    <w:rsid w:val="00854195"/>
    <w:rsid w:val="0086184C"/>
    <w:rsid w:val="00862CE0"/>
    <w:rsid w:val="008676B6"/>
    <w:rsid w:val="008708B7"/>
    <w:rsid w:val="00872149"/>
    <w:rsid w:val="00874655"/>
    <w:rsid w:val="00875121"/>
    <w:rsid w:val="00875363"/>
    <w:rsid w:val="00875BB3"/>
    <w:rsid w:val="00877BCC"/>
    <w:rsid w:val="00877DCE"/>
    <w:rsid w:val="008847B7"/>
    <w:rsid w:val="0089245E"/>
    <w:rsid w:val="00893A9F"/>
    <w:rsid w:val="00894BA4"/>
    <w:rsid w:val="008975A2"/>
    <w:rsid w:val="008A3001"/>
    <w:rsid w:val="008A3BC8"/>
    <w:rsid w:val="008A6AF7"/>
    <w:rsid w:val="008A73B9"/>
    <w:rsid w:val="008A7456"/>
    <w:rsid w:val="008B41D8"/>
    <w:rsid w:val="008B42C4"/>
    <w:rsid w:val="008C4803"/>
    <w:rsid w:val="008D1DA9"/>
    <w:rsid w:val="008D36DC"/>
    <w:rsid w:val="008D65AB"/>
    <w:rsid w:val="008E07AA"/>
    <w:rsid w:val="008E08EF"/>
    <w:rsid w:val="008E1D63"/>
    <w:rsid w:val="008F2DD9"/>
    <w:rsid w:val="009019D9"/>
    <w:rsid w:val="0090275B"/>
    <w:rsid w:val="00902D14"/>
    <w:rsid w:val="009035EE"/>
    <w:rsid w:val="009052C6"/>
    <w:rsid w:val="00905378"/>
    <w:rsid w:val="00905FBA"/>
    <w:rsid w:val="00906B6E"/>
    <w:rsid w:val="0090792F"/>
    <w:rsid w:val="009110A7"/>
    <w:rsid w:val="00911EF7"/>
    <w:rsid w:val="00914FFE"/>
    <w:rsid w:val="00917108"/>
    <w:rsid w:val="00922C8B"/>
    <w:rsid w:val="00930D88"/>
    <w:rsid w:val="009374A2"/>
    <w:rsid w:val="00944A7D"/>
    <w:rsid w:val="00960440"/>
    <w:rsid w:val="0097171A"/>
    <w:rsid w:val="009817DF"/>
    <w:rsid w:val="00982C9B"/>
    <w:rsid w:val="00984CD3"/>
    <w:rsid w:val="00992917"/>
    <w:rsid w:val="00995C76"/>
    <w:rsid w:val="00996403"/>
    <w:rsid w:val="009A001B"/>
    <w:rsid w:val="009B3BEB"/>
    <w:rsid w:val="009B4035"/>
    <w:rsid w:val="009B4474"/>
    <w:rsid w:val="009B7C4A"/>
    <w:rsid w:val="009C5FF5"/>
    <w:rsid w:val="009C6916"/>
    <w:rsid w:val="009D3F10"/>
    <w:rsid w:val="009D63EB"/>
    <w:rsid w:val="009E1B57"/>
    <w:rsid w:val="009E1F26"/>
    <w:rsid w:val="009E4782"/>
    <w:rsid w:val="009E5FA3"/>
    <w:rsid w:val="009F6DAF"/>
    <w:rsid w:val="00A0543B"/>
    <w:rsid w:val="00A06D11"/>
    <w:rsid w:val="00A10494"/>
    <w:rsid w:val="00A12018"/>
    <w:rsid w:val="00A12CED"/>
    <w:rsid w:val="00A17A8C"/>
    <w:rsid w:val="00A2057E"/>
    <w:rsid w:val="00A259E4"/>
    <w:rsid w:val="00A31AE0"/>
    <w:rsid w:val="00A413A4"/>
    <w:rsid w:val="00A417F5"/>
    <w:rsid w:val="00A445E3"/>
    <w:rsid w:val="00A462EC"/>
    <w:rsid w:val="00A4665C"/>
    <w:rsid w:val="00A47516"/>
    <w:rsid w:val="00A5151E"/>
    <w:rsid w:val="00A5189B"/>
    <w:rsid w:val="00A5243C"/>
    <w:rsid w:val="00A57B9C"/>
    <w:rsid w:val="00A7046B"/>
    <w:rsid w:val="00A765CB"/>
    <w:rsid w:val="00A81368"/>
    <w:rsid w:val="00A86DD4"/>
    <w:rsid w:val="00AA15BC"/>
    <w:rsid w:val="00AA347C"/>
    <w:rsid w:val="00AA3646"/>
    <w:rsid w:val="00AB23DB"/>
    <w:rsid w:val="00AB262A"/>
    <w:rsid w:val="00AB35A9"/>
    <w:rsid w:val="00AB4375"/>
    <w:rsid w:val="00AB6DA1"/>
    <w:rsid w:val="00AB7583"/>
    <w:rsid w:val="00AC196D"/>
    <w:rsid w:val="00AD1C82"/>
    <w:rsid w:val="00AE1F55"/>
    <w:rsid w:val="00AF450D"/>
    <w:rsid w:val="00AF4B56"/>
    <w:rsid w:val="00B004E3"/>
    <w:rsid w:val="00B02B8D"/>
    <w:rsid w:val="00B13C6B"/>
    <w:rsid w:val="00B15499"/>
    <w:rsid w:val="00B21D72"/>
    <w:rsid w:val="00B47C5E"/>
    <w:rsid w:val="00B50235"/>
    <w:rsid w:val="00B60830"/>
    <w:rsid w:val="00B61842"/>
    <w:rsid w:val="00B618F1"/>
    <w:rsid w:val="00B62E71"/>
    <w:rsid w:val="00B6430F"/>
    <w:rsid w:val="00B666DD"/>
    <w:rsid w:val="00B71E38"/>
    <w:rsid w:val="00B71E47"/>
    <w:rsid w:val="00B733A6"/>
    <w:rsid w:val="00B748C9"/>
    <w:rsid w:val="00B8351F"/>
    <w:rsid w:val="00B83C6C"/>
    <w:rsid w:val="00B90F61"/>
    <w:rsid w:val="00B9299C"/>
    <w:rsid w:val="00BA1895"/>
    <w:rsid w:val="00BA5C12"/>
    <w:rsid w:val="00BA6150"/>
    <w:rsid w:val="00BB44DB"/>
    <w:rsid w:val="00BB60EF"/>
    <w:rsid w:val="00BC16A2"/>
    <w:rsid w:val="00BC2164"/>
    <w:rsid w:val="00BE1913"/>
    <w:rsid w:val="00BF538B"/>
    <w:rsid w:val="00C0068E"/>
    <w:rsid w:val="00C012A3"/>
    <w:rsid w:val="00C0146B"/>
    <w:rsid w:val="00C1559C"/>
    <w:rsid w:val="00C15701"/>
    <w:rsid w:val="00C1634B"/>
    <w:rsid w:val="00C17E4F"/>
    <w:rsid w:val="00C238FC"/>
    <w:rsid w:val="00C31AF5"/>
    <w:rsid w:val="00C32E0F"/>
    <w:rsid w:val="00C360DD"/>
    <w:rsid w:val="00C45D39"/>
    <w:rsid w:val="00C474C4"/>
    <w:rsid w:val="00C51298"/>
    <w:rsid w:val="00C5148F"/>
    <w:rsid w:val="00C70D09"/>
    <w:rsid w:val="00C72B6E"/>
    <w:rsid w:val="00C8035E"/>
    <w:rsid w:val="00C8471E"/>
    <w:rsid w:val="00C87D05"/>
    <w:rsid w:val="00C975BD"/>
    <w:rsid w:val="00C97ADC"/>
    <w:rsid w:val="00CA259E"/>
    <w:rsid w:val="00CB0DB3"/>
    <w:rsid w:val="00CB4E5A"/>
    <w:rsid w:val="00CC0DAB"/>
    <w:rsid w:val="00CC30BF"/>
    <w:rsid w:val="00CC3378"/>
    <w:rsid w:val="00CC40B0"/>
    <w:rsid w:val="00CC5D31"/>
    <w:rsid w:val="00CC7875"/>
    <w:rsid w:val="00CD493D"/>
    <w:rsid w:val="00CD4D02"/>
    <w:rsid w:val="00CE7349"/>
    <w:rsid w:val="00CF4ADA"/>
    <w:rsid w:val="00D03351"/>
    <w:rsid w:val="00D12683"/>
    <w:rsid w:val="00D14F79"/>
    <w:rsid w:val="00D24592"/>
    <w:rsid w:val="00D27EB3"/>
    <w:rsid w:val="00D34D42"/>
    <w:rsid w:val="00D35A4C"/>
    <w:rsid w:val="00D3651C"/>
    <w:rsid w:val="00D371F0"/>
    <w:rsid w:val="00D40804"/>
    <w:rsid w:val="00D41BE7"/>
    <w:rsid w:val="00D435C0"/>
    <w:rsid w:val="00D455C7"/>
    <w:rsid w:val="00D45A5F"/>
    <w:rsid w:val="00D5203D"/>
    <w:rsid w:val="00D57CA3"/>
    <w:rsid w:val="00D614D6"/>
    <w:rsid w:val="00D6234D"/>
    <w:rsid w:val="00D62365"/>
    <w:rsid w:val="00D70C70"/>
    <w:rsid w:val="00D74D28"/>
    <w:rsid w:val="00D7585F"/>
    <w:rsid w:val="00D92AD1"/>
    <w:rsid w:val="00D94CE3"/>
    <w:rsid w:val="00D97AAE"/>
    <w:rsid w:val="00DA2E1B"/>
    <w:rsid w:val="00DA3672"/>
    <w:rsid w:val="00DA3D13"/>
    <w:rsid w:val="00DA5F79"/>
    <w:rsid w:val="00DB53E7"/>
    <w:rsid w:val="00DB5AD1"/>
    <w:rsid w:val="00DB5BA0"/>
    <w:rsid w:val="00DB7185"/>
    <w:rsid w:val="00DC0830"/>
    <w:rsid w:val="00DC1425"/>
    <w:rsid w:val="00DC3F15"/>
    <w:rsid w:val="00DE0F04"/>
    <w:rsid w:val="00DE1113"/>
    <w:rsid w:val="00DE1D06"/>
    <w:rsid w:val="00DE257A"/>
    <w:rsid w:val="00DE2601"/>
    <w:rsid w:val="00DE3583"/>
    <w:rsid w:val="00DE4E19"/>
    <w:rsid w:val="00DE66BB"/>
    <w:rsid w:val="00DF114C"/>
    <w:rsid w:val="00DF3C49"/>
    <w:rsid w:val="00DF539B"/>
    <w:rsid w:val="00DF6742"/>
    <w:rsid w:val="00E05FBC"/>
    <w:rsid w:val="00E07754"/>
    <w:rsid w:val="00E21588"/>
    <w:rsid w:val="00E22792"/>
    <w:rsid w:val="00E25B3C"/>
    <w:rsid w:val="00E33493"/>
    <w:rsid w:val="00E34C0B"/>
    <w:rsid w:val="00E35676"/>
    <w:rsid w:val="00E421F6"/>
    <w:rsid w:val="00E5031D"/>
    <w:rsid w:val="00E56AAB"/>
    <w:rsid w:val="00E6055E"/>
    <w:rsid w:val="00E7081D"/>
    <w:rsid w:val="00E8144B"/>
    <w:rsid w:val="00E817E7"/>
    <w:rsid w:val="00E8617E"/>
    <w:rsid w:val="00E86DA5"/>
    <w:rsid w:val="00E86EBB"/>
    <w:rsid w:val="00E906E3"/>
    <w:rsid w:val="00E92E6C"/>
    <w:rsid w:val="00E97744"/>
    <w:rsid w:val="00EA02C4"/>
    <w:rsid w:val="00EA3AA8"/>
    <w:rsid w:val="00EB7079"/>
    <w:rsid w:val="00EB76D0"/>
    <w:rsid w:val="00EC073B"/>
    <w:rsid w:val="00EC550E"/>
    <w:rsid w:val="00ED4C0A"/>
    <w:rsid w:val="00EE0326"/>
    <w:rsid w:val="00EE05B0"/>
    <w:rsid w:val="00EE5289"/>
    <w:rsid w:val="00EF0F12"/>
    <w:rsid w:val="00EF6427"/>
    <w:rsid w:val="00EF7035"/>
    <w:rsid w:val="00F11742"/>
    <w:rsid w:val="00F175B6"/>
    <w:rsid w:val="00F22B0A"/>
    <w:rsid w:val="00F230CC"/>
    <w:rsid w:val="00F23A07"/>
    <w:rsid w:val="00F42A43"/>
    <w:rsid w:val="00F4306A"/>
    <w:rsid w:val="00F4498A"/>
    <w:rsid w:val="00F45305"/>
    <w:rsid w:val="00F458DA"/>
    <w:rsid w:val="00F55B1A"/>
    <w:rsid w:val="00F825E9"/>
    <w:rsid w:val="00F90255"/>
    <w:rsid w:val="00F91C07"/>
    <w:rsid w:val="00F9336B"/>
    <w:rsid w:val="00FA33EB"/>
    <w:rsid w:val="00FA59EC"/>
    <w:rsid w:val="00FB0CD7"/>
    <w:rsid w:val="00FB428E"/>
    <w:rsid w:val="00FB4DF4"/>
    <w:rsid w:val="00FB5239"/>
    <w:rsid w:val="00FB77D1"/>
    <w:rsid w:val="00FB7A9C"/>
    <w:rsid w:val="00FB7F18"/>
    <w:rsid w:val="00FC56E0"/>
    <w:rsid w:val="00FC5FD0"/>
    <w:rsid w:val="00FE1DEA"/>
    <w:rsid w:val="00FE4394"/>
    <w:rsid w:val="00FF6EE0"/>
    <w:rsid w:val="00FF72A6"/>
    <w:rsid w:val="016F59D9"/>
    <w:rsid w:val="0189513F"/>
    <w:rsid w:val="01A965E8"/>
    <w:rsid w:val="01CE35D0"/>
    <w:rsid w:val="0253001D"/>
    <w:rsid w:val="025A341A"/>
    <w:rsid w:val="02CB2788"/>
    <w:rsid w:val="03A64100"/>
    <w:rsid w:val="04B653B4"/>
    <w:rsid w:val="04C36A13"/>
    <w:rsid w:val="04C82844"/>
    <w:rsid w:val="054569AF"/>
    <w:rsid w:val="05B932B6"/>
    <w:rsid w:val="05FF31A2"/>
    <w:rsid w:val="06BB15AE"/>
    <w:rsid w:val="07067D04"/>
    <w:rsid w:val="07344E4B"/>
    <w:rsid w:val="083856C6"/>
    <w:rsid w:val="0904431D"/>
    <w:rsid w:val="09F61E3A"/>
    <w:rsid w:val="0A2504EC"/>
    <w:rsid w:val="0A566A28"/>
    <w:rsid w:val="0A74393A"/>
    <w:rsid w:val="0ABE3610"/>
    <w:rsid w:val="0AFC0B0F"/>
    <w:rsid w:val="0C3945A0"/>
    <w:rsid w:val="0CDA0470"/>
    <w:rsid w:val="0D2163C2"/>
    <w:rsid w:val="10F778CA"/>
    <w:rsid w:val="11491B86"/>
    <w:rsid w:val="11964BE9"/>
    <w:rsid w:val="11E95C8C"/>
    <w:rsid w:val="127F56FA"/>
    <w:rsid w:val="131D1455"/>
    <w:rsid w:val="132437BC"/>
    <w:rsid w:val="134D19DB"/>
    <w:rsid w:val="140E47A9"/>
    <w:rsid w:val="142E24C2"/>
    <w:rsid w:val="148A2C7E"/>
    <w:rsid w:val="14B60D59"/>
    <w:rsid w:val="15486AF7"/>
    <w:rsid w:val="154F7350"/>
    <w:rsid w:val="157133E1"/>
    <w:rsid w:val="15B46B1D"/>
    <w:rsid w:val="15F960B3"/>
    <w:rsid w:val="16CF54DD"/>
    <w:rsid w:val="16E053C6"/>
    <w:rsid w:val="17A32914"/>
    <w:rsid w:val="18A53A31"/>
    <w:rsid w:val="18A57AF6"/>
    <w:rsid w:val="18F3363F"/>
    <w:rsid w:val="19662848"/>
    <w:rsid w:val="19AD6A1F"/>
    <w:rsid w:val="1A580615"/>
    <w:rsid w:val="1C566D50"/>
    <w:rsid w:val="1CB61FBF"/>
    <w:rsid w:val="1CBE12D0"/>
    <w:rsid w:val="1D347A04"/>
    <w:rsid w:val="1D6F4F35"/>
    <w:rsid w:val="1E593157"/>
    <w:rsid w:val="1E8231F4"/>
    <w:rsid w:val="1EC31957"/>
    <w:rsid w:val="1F772F35"/>
    <w:rsid w:val="1F873430"/>
    <w:rsid w:val="1FA362F9"/>
    <w:rsid w:val="208E135F"/>
    <w:rsid w:val="21390BBC"/>
    <w:rsid w:val="21720386"/>
    <w:rsid w:val="22346875"/>
    <w:rsid w:val="22DC75A5"/>
    <w:rsid w:val="232949DE"/>
    <w:rsid w:val="245B1F13"/>
    <w:rsid w:val="24A566C3"/>
    <w:rsid w:val="24F07B44"/>
    <w:rsid w:val="254F6CC1"/>
    <w:rsid w:val="25622CDC"/>
    <w:rsid w:val="25832319"/>
    <w:rsid w:val="258B4B74"/>
    <w:rsid w:val="26417550"/>
    <w:rsid w:val="27727B59"/>
    <w:rsid w:val="27FC7BF1"/>
    <w:rsid w:val="280B4F92"/>
    <w:rsid w:val="28351894"/>
    <w:rsid w:val="28D95CA4"/>
    <w:rsid w:val="29392D73"/>
    <w:rsid w:val="296A14D8"/>
    <w:rsid w:val="29BC5C11"/>
    <w:rsid w:val="2A510FBD"/>
    <w:rsid w:val="2AC843BF"/>
    <w:rsid w:val="2AEE448B"/>
    <w:rsid w:val="2B1D5741"/>
    <w:rsid w:val="2B4766B6"/>
    <w:rsid w:val="2C405595"/>
    <w:rsid w:val="2C4A4148"/>
    <w:rsid w:val="2C4F3870"/>
    <w:rsid w:val="2CC70BCD"/>
    <w:rsid w:val="2D4D39E7"/>
    <w:rsid w:val="2D883C33"/>
    <w:rsid w:val="2E092926"/>
    <w:rsid w:val="2E4E24EE"/>
    <w:rsid w:val="2E6621D7"/>
    <w:rsid w:val="2E952707"/>
    <w:rsid w:val="2EB51703"/>
    <w:rsid w:val="2EB803D0"/>
    <w:rsid w:val="2EFA3CAD"/>
    <w:rsid w:val="2F6228FF"/>
    <w:rsid w:val="2FB62A9E"/>
    <w:rsid w:val="2FE65B8B"/>
    <w:rsid w:val="30EF7222"/>
    <w:rsid w:val="31992753"/>
    <w:rsid w:val="32FC3C86"/>
    <w:rsid w:val="330338D3"/>
    <w:rsid w:val="33130FD7"/>
    <w:rsid w:val="33241742"/>
    <w:rsid w:val="3361175A"/>
    <w:rsid w:val="339232B7"/>
    <w:rsid w:val="35B21C12"/>
    <w:rsid w:val="369E0CED"/>
    <w:rsid w:val="374B37D4"/>
    <w:rsid w:val="37596E9B"/>
    <w:rsid w:val="37BF68BC"/>
    <w:rsid w:val="37E3152F"/>
    <w:rsid w:val="39096211"/>
    <w:rsid w:val="39AE0BDF"/>
    <w:rsid w:val="3A126A74"/>
    <w:rsid w:val="3A762213"/>
    <w:rsid w:val="3A9C1F2D"/>
    <w:rsid w:val="3AB8758A"/>
    <w:rsid w:val="3B4568D9"/>
    <w:rsid w:val="3BD91B61"/>
    <w:rsid w:val="3BF2205E"/>
    <w:rsid w:val="3BFC2147"/>
    <w:rsid w:val="3C5B183D"/>
    <w:rsid w:val="3CA64B04"/>
    <w:rsid w:val="3CD95941"/>
    <w:rsid w:val="3E7C5D83"/>
    <w:rsid w:val="3EAA364C"/>
    <w:rsid w:val="3F504DE1"/>
    <w:rsid w:val="3FBF4720"/>
    <w:rsid w:val="40352E65"/>
    <w:rsid w:val="404D5493"/>
    <w:rsid w:val="4083261B"/>
    <w:rsid w:val="419A43FE"/>
    <w:rsid w:val="41AD0C6E"/>
    <w:rsid w:val="41BC50AC"/>
    <w:rsid w:val="421239B0"/>
    <w:rsid w:val="4307043D"/>
    <w:rsid w:val="43BC17B3"/>
    <w:rsid w:val="43CF05CB"/>
    <w:rsid w:val="44127C11"/>
    <w:rsid w:val="44145BA6"/>
    <w:rsid w:val="442A3975"/>
    <w:rsid w:val="44A86DAD"/>
    <w:rsid w:val="44D3482A"/>
    <w:rsid w:val="45015EF0"/>
    <w:rsid w:val="459570A7"/>
    <w:rsid w:val="462E3DEA"/>
    <w:rsid w:val="46904BF6"/>
    <w:rsid w:val="47F0387F"/>
    <w:rsid w:val="4886641B"/>
    <w:rsid w:val="48A42867"/>
    <w:rsid w:val="498D7726"/>
    <w:rsid w:val="4BBF4EDC"/>
    <w:rsid w:val="4BED798F"/>
    <w:rsid w:val="4CF24371"/>
    <w:rsid w:val="4D4A1CAD"/>
    <w:rsid w:val="4D7D4C51"/>
    <w:rsid w:val="4E62290B"/>
    <w:rsid w:val="4E692C9A"/>
    <w:rsid w:val="500D4512"/>
    <w:rsid w:val="50D4174D"/>
    <w:rsid w:val="50F61633"/>
    <w:rsid w:val="514752E9"/>
    <w:rsid w:val="51D4565E"/>
    <w:rsid w:val="52733CB4"/>
    <w:rsid w:val="53AB0F6F"/>
    <w:rsid w:val="548231E9"/>
    <w:rsid w:val="54CB7D76"/>
    <w:rsid w:val="560F7ED4"/>
    <w:rsid w:val="568F5244"/>
    <w:rsid w:val="56CD5612"/>
    <w:rsid w:val="56D07553"/>
    <w:rsid w:val="570C3E82"/>
    <w:rsid w:val="5779695B"/>
    <w:rsid w:val="577B5442"/>
    <w:rsid w:val="57802106"/>
    <w:rsid w:val="57866E96"/>
    <w:rsid w:val="57D456E1"/>
    <w:rsid w:val="57F25D13"/>
    <w:rsid w:val="58F80751"/>
    <w:rsid w:val="593D6814"/>
    <w:rsid w:val="59B95D9F"/>
    <w:rsid w:val="59F4224A"/>
    <w:rsid w:val="5AC50D7C"/>
    <w:rsid w:val="5B0B2280"/>
    <w:rsid w:val="5B9A6792"/>
    <w:rsid w:val="5C7429AE"/>
    <w:rsid w:val="5D3503DE"/>
    <w:rsid w:val="5D367D3E"/>
    <w:rsid w:val="5DB30D40"/>
    <w:rsid w:val="5E5260FF"/>
    <w:rsid w:val="5EEE2930"/>
    <w:rsid w:val="5F6D2F8E"/>
    <w:rsid w:val="5FD00479"/>
    <w:rsid w:val="60C65B5F"/>
    <w:rsid w:val="61060E4D"/>
    <w:rsid w:val="61A53352"/>
    <w:rsid w:val="61CC6661"/>
    <w:rsid w:val="62453BAB"/>
    <w:rsid w:val="62B16C3B"/>
    <w:rsid w:val="63245116"/>
    <w:rsid w:val="63481A88"/>
    <w:rsid w:val="639272A2"/>
    <w:rsid w:val="65701C6B"/>
    <w:rsid w:val="65726DEA"/>
    <w:rsid w:val="6590092B"/>
    <w:rsid w:val="65942FB6"/>
    <w:rsid w:val="66A53555"/>
    <w:rsid w:val="67D464B5"/>
    <w:rsid w:val="68B11C3B"/>
    <w:rsid w:val="68FD3953"/>
    <w:rsid w:val="692C375D"/>
    <w:rsid w:val="6A094DCE"/>
    <w:rsid w:val="6AAE0481"/>
    <w:rsid w:val="6B847B46"/>
    <w:rsid w:val="6C710BCB"/>
    <w:rsid w:val="6DCA5E2D"/>
    <w:rsid w:val="6E213139"/>
    <w:rsid w:val="6F9E5BF2"/>
    <w:rsid w:val="70671C44"/>
    <w:rsid w:val="72866841"/>
    <w:rsid w:val="73AB6A57"/>
    <w:rsid w:val="73BD7ADF"/>
    <w:rsid w:val="73F44F60"/>
    <w:rsid w:val="74571BA5"/>
    <w:rsid w:val="752C798A"/>
    <w:rsid w:val="758E6146"/>
    <w:rsid w:val="765B03A0"/>
    <w:rsid w:val="769B4F3B"/>
    <w:rsid w:val="76D73F7F"/>
    <w:rsid w:val="76E66469"/>
    <w:rsid w:val="77337361"/>
    <w:rsid w:val="775D14F1"/>
    <w:rsid w:val="77CD01EC"/>
    <w:rsid w:val="788A0047"/>
    <w:rsid w:val="79AC4026"/>
    <w:rsid w:val="7B1A0194"/>
    <w:rsid w:val="7BD03AC4"/>
    <w:rsid w:val="7BEC70B9"/>
    <w:rsid w:val="7C04651D"/>
    <w:rsid w:val="7C1C60A0"/>
    <w:rsid w:val="7C8852B7"/>
    <w:rsid w:val="7CDA1435"/>
    <w:rsid w:val="7DAA0391"/>
    <w:rsid w:val="7DC13696"/>
    <w:rsid w:val="7E6B4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F3F54"/>
  <w15:docId w15:val="{D18A746D-8D07-4467-AB5B-7C32EB2B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5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2545D"/>
    <w:pPr>
      <w:keepNext/>
      <w:keepLines/>
      <w:spacing w:before="340" w:after="330" w:line="576" w:lineRule="auto"/>
      <w:outlineLvl w:val="0"/>
    </w:pPr>
    <w:rPr>
      <w:b/>
      <w:kern w:val="44"/>
      <w:sz w:val="44"/>
    </w:rPr>
  </w:style>
  <w:style w:type="paragraph" w:styleId="2">
    <w:name w:val="heading 2"/>
    <w:basedOn w:val="a"/>
    <w:next w:val="a"/>
    <w:unhideWhenUsed/>
    <w:qFormat/>
    <w:rsid w:val="0012545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12545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2545D"/>
    <w:rPr>
      <w:rFonts w:ascii="Arial" w:eastAsia="黑体" w:hAnsi="Arial"/>
      <w:sz w:val="20"/>
    </w:rPr>
  </w:style>
  <w:style w:type="paragraph" w:styleId="30">
    <w:name w:val="toc 3"/>
    <w:basedOn w:val="a"/>
    <w:next w:val="a"/>
    <w:uiPriority w:val="39"/>
    <w:qFormat/>
    <w:rsid w:val="0012545D"/>
    <w:pPr>
      <w:ind w:leftChars="400" w:left="840"/>
    </w:pPr>
  </w:style>
  <w:style w:type="paragraph" w:styleId="a4">
    <w:name w:val="footer"/>
    <w:basedOn w:val="a"/>
    <w:link w:val="a5"/>
    <w:uiPriority w:val="99"/>
    <w:qFormat/>
    <w:rsid w:val="0012545D"/>
    <w:pPr>
      <w:tabs>
        <w:tab w:val="center" w:pos="4153"/>
        <w:tab w:val="right" w:pos="8306"/>
      </w:tabs>
      <w:snapToGrid w:val="0"/>
      <w:jc w:val="left"/>
    </w:pPr>
    <w:rPr>
      <w:sz w:val="18"/>
      <w:szCs w:val="18"/>
    </w:rPr>
  </w:style>
  <w:style w:type="paragraph" w:styleId="a6">
    <w:name w:val="header"/>
    <w:basedOn w:val="a"/>
    <w:link w:val="a7"/>
    <w:qFormat/>
    <w:rsid w:val="001254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12545D"/>
  </w:style>
  <w:style w:type="paragraph" w:styleId="20">
    <w:name w:val="toc 2"/>
    <w:basedOn w:val="a"/>
    <w:next w:val="a"/>
    <w:uiPriority w:val="39"/>
    <w:qFormat/>
    <w:rsid w:val="0012545D"/>
    <w:pPr>
      <w:ind w:leftChars="200" w:left="420"/>
    </w:pPr>
  </w:style>
  <w:style w:type="table" w:styleId="a8">
    <w:name w:val="Table Grid"/>
    <w:basedOn w:val="a1"/>
    <w:qFormat/>
    <w:rsid w:val="001254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sid w:val="0012545D"/>
    <w:rPr>
      <w:color w:val="0000FF"/>
      <w:u w:val="single"/>
    </w:rPr>
  </w:style>
  <w:style w:type="character" w:customStyle="1" w:styleId="a7">
    <w:name w:val="页眉 字符"/>
    <w:basedOn w:val="a0"/>
    <w:link w:val="a6"/>
    <w:qFormat/>
    <w:rsid w:val="0012545D"/>
    <w:rPr>
      <w:kern w:val="2"/>
      <w:sz w:val="18"/>
      <w:szCs w:val="18"/>
    </w:rPr>
  </w:style>
  <w:style w:type="character" w:customStyle="1" w:styleId="a5">
    <w:name w:val="页脚 字符"/>
    <w:basedOn w:val="a0"/>
    <w:link w:val="a4"/>
    <w:uiPriority w:val="99"/>
    <w:qFormat/>
    <w:rsid w:val="0012545D"/>
    <w:rPr>
      <w:kern w:val="2"/>
      <w:sz w:val="18"/>
      <w:szCs w:val="18"/>
    </w:rPr>
  </w:style>
  <w:style w:type="paragraph" w:styleId="aa">
    <w:name w:val="List Paragraph"/>
    <w:basedOn w:val="a"/>
    <w:uiPriority w:val="34"/>
    <w:unhideWhenUsed/>
    <w:qFormat/>
    <w:rsid w:val="0012545D"/>
    <w:pPr>
      <w:ind w:firstLineChars="200" w:firstLine="420"/>
    </w:pPr>
  </w:style>
  <w:style w:type="paragraph" w:customStyle="1" w:styleId="WPSOffice1">
    <w:name w:val="WPSOffice手动目录 1"/>
    <w:qFormat/>
    <w:rsid w:val="0012545D"/>
  </w:style>
  <w:style w:type="paragraph" w:customStyle="1" w:styleId="WPSOffice2">
    <w:name w:val="WPSOffice手动目录 2"/>
    <w:qFormat/>
    <w:rsid w:val="0012545D"/>
    <w:pPr>
      <w:ind w:leftChars="200" w:left="200"/>
    </w:pPr>
  </w:style>
  <w:style w:type="paragraph" w:customStyle="1" w:styleId="WPSOffice3">
    <w:name w:val="WPSOffice手动目录 3"/>
    <w:qFormat/>
    <w:rsid w:val="0012545D"/>
    <w:pPr>
      <w:ind w:leftChars="400" w:left="400"/>
    </w:pPr>
  </w:style>
  <w:style w:type="paragraph" w:styleId="ab">
    <w:name w:val="Balloon Text"/>
    <w:basedOn w:val="a"/>
    <w:link w:val="ac"/>
    <w:semiHidden/>
    <w:unhideWhenUsed/>
    <w:rsid w:val="00A462EC"/>
    <w:rPr>
      <w:sz w:val="18"/>
      <w:szCs w:val="18"/>
    </w:rPr>
  </w:style>
  <w:style w:type="character" w:customStyle="1" w:styleId="ac">
    <w:name w:val="批注框文本 字符"/>
    <w:basedOn w:val="a0"/>
    <w:link w:val="ab"/>
    <w:semiHidden/>
    <w:rsid w:val="00A462EC"/>
    <w:rPr>
      <w:rFonts w:asciiTheme="minorHAnsi" w:eastAsiaTheme="minorEastAsia" w:hAnsiTheme="minorHAnsi" w:cstheme="minorBidi"/>
      <w:kern w:val="2"/>
      <w:sz w:val="18"/>
      <w:szCs w:val="18"/>
    </w:rPr>
  </w:style>
  <w:style w:type="character" w:styleId="ad">
    <w:name w:val="line number"/>
    <w:basedOn w:val="a0"/>
    <w:rsid w:val="00F458DA"/>
  </w:style>
  <w:style w:type="table" w:customStyle="1" w:styleId="11">
    <w:name w:val="浅色底纹1"/>
    <w:basedOn w:val="a1"/>
    <w:uiPriority w:val="60"/>
    <w:rsid w:val="00CC7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Revision"/>
    <w:hidden/>
    <w:uiPriority w:val="99"/>
    <w:semiHidden/>
    <w:rsid w:val="00A2057E"/>
    <w:rPr>
      <w:rFonts w:asciiTheme="minorHAnsi" w:eastAsiaTheme="minorEastAsia" w:hAnsiTheme="minorHAnsi" w:cstheme="minorBidi"/>
      <w:kern w:val="2"/>
      <w:sz w:val="21"/>
      <w:szCs w:val="24"/>
    </w:rPr>
  </w:style>
  <w:style w:type="character" w:styleId="af">
    <w:name w:val="annotation reference"/>
    <w:basedOn w:val="a0"/>
    <w:semiHidden/>
    <w:unhideWhenUsed/>
    <w:rsid w:val="00377A15"/>
    <w:rPr>
      <w:sz w:val="21"/>
      <w:szCs w:val="21"/>
    </w:rPr>
  </w:style>
  <w:style w:type="paragraph" w:styleId="af0">
    <w:name w:val="annotation text"/>
    <w:basedOn w:val="a"/>
    <w:link w:val="af1"/>
    <w:semiHidden/>
    <w:unhideWhenUsed/>
    <w:rsid w:val="00377A15"/>
    <w:pPr>
      <w:jc w:val="left"/>
    </w:pPr>
  </w:style>
  <w:style w:type="character" w:customStyle="1" w:styleId="af1">
    <w:name w:val="批注文字 字符"/>
    <w:basedOn w:val="a0"/>
    <w:link w:val="af0"/>
    <w:semiHidden/>
    <w:rsid w:val="00377A15"/>
    <w:rPr>
      <w:rFonts w:asciiTheme="minorHAnsi" w:eastAsiaTheme="minorEastAsia" w:hAnsiTheme="minorHAnsi" w:cstheme="minorBidi"/>
      <w:kern w:val="2"/>
      <w:sz w:val="21"/>
      <w:szCs w:val="24"/>
    </w:rPr>
  </w:style>
  <w:style w:type="paragraph" w:styleId="af2">
    <w:name w:val="annotation subject"/>
    <w:basedOn w:val="af0"/>
    <w:next w:val="af0"/>
    <w:link w:val="af3"/>
    <w:semiHidden/>
    <w:unhideWhenUsed/>
    <w:rsid w:val="00377A15"/>
    <w:rPr>
      <w:b/>
      <w:bCs/>
    </w:rPr>
  </w:style>
  <w:style w:type="character" w:customStyle="1" w:styleId="af3">
    <w:name w:val="批注主题 字符"/>
    <w:basedOn w:val="af1"/>
    <w:link w:val="af2"/>
    <w:semiHidden/>
    <w:rsid w:val="00377A15"/>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2318">
      <w:bodyDiv w:val="1"/>
      <w:marLeft w:val="0"/>
      <w:marRight w:val="0"/>
      <w:marTop w:val="0"/>
      <w:marBottom w:val="0"/>
      <w:divBdr>
        <w:top w:val="none" w:sz="0" w:space="0" w:color="auto"/>
        <w:left w:val="none" w:sz="0" w:space="0" w:color="auto"/>
        <w:bottom w:val="none" w:sz="0" w:space="0" w:color="auto"/>
        <w:right w:val="none" w:sz="0" w:space="0" w:color="auto"/>
      </w:divBdr>
    </w:div>
    <w:div w:id="219220167">
      <w:bodyDiv w:val="1"/>
      <w:marLeft w:val="0"/>
      <w:marRight w:val="0"/>
      <w:marTop w:val="0"/>
      <w:marBottom w:val="0"/>
      <w:divBdr>
        <w:top w:val="none" w:sz="0" w:space="0" w:color="auto"/>
        <w:left w:val="none" w:sz="0" w:space="0" w:color="auto"/>
        <w:bottom w:val="none" w:sz="0" w:space="0" w:color="auto"/>
        <w:right w:val="none" w:sz="0" w:space="0" w:color="auto"/>
      </w:divBdr>
    </w:div>
    <w:div w:id="271860317">
      <w:bodyDiv w:val="1"/>
      <w:marLeft w:val="0"/>
      <w:marRight w:val="0"/>
      <w:marTop w:val="0"/>
      <w:marBottom w:val="0"/>
      <w:divBdr>
        <w:top w:val="none" w:sz="0" w:space="0" w:color="auto"/>
        <w:left w:val="none" w:sz="0" w:space="0" w:color="auto"/>
        <w:bottom w:val="none" w:sz="0" w:space="0" w:color="auto"/>
        <w:right w:val="none" w:sz="0" w:space="0" w:color="auto"/>
      </w:divBdr>
      <w:divsChild>
        <w:div w:id="1075201283">
          <w:marLeft w:val="0"/>
          <w:marRight w:val="0"/>
          <w:marTop w:val="0"/>
          <w:marBottom w:val="0"/>
          <w:divBdr>
            <w:top w:val="none" w:sz="0" w:space="0" w:color="auto"/>
            <w:left w:val="none" w:sz="0" w:space="0" w:color="auto"/>
            <w:bottom w:val="none" w:sz="0" w:space="0" w:color="auto"/>
            <w:right w:val="none" w:sz="0" w:space="0" w:color="auto"/>
          </w:divBdr>
          <w:divsChild>
            <w:div w:id="20642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4759">
      <w:bodyDiv w:val="1"/>
      <w:marLeft w:val="0"/>
      <w:marRight w:val="0"/>
      <w:marTop w:val="0"/>
      <w:marBottom w:val="0"/>
      <w:divBdr>
        <w:top w:val="none" w:sz="0" w:space="0" w:color="auto"/>
        <w:left w:val="none" w:sz="0" w:space="0" w:color="auto"/>
        <w:bottom w:val="none" w:sz="0" w:space="0" w:color="auto"/>
        <w:right w:val="none" w:sz="0" w:space="0" w:color="auto"/>
      </w:divBdr>
      <w:divsChild>
        <w:div w:id="435440776">
          <w:marLeft w:val="0"/>
          <w:marRight w:val="0"/>
          <w:marTop w:val="0"/>
          <w:marBottom w:val="0"/>
          <w:divBdr>
            <w:top w:val="none" w:sz="0" w:space="0" w:color="auto"/>
            <w:left w:val="none" w:sz="0" w:space="0" w:color="auto"/>
            <w:bottom w:val="none" w:sz="0" w:space="0" w:color="auto"/>
            <w:right w:val="none" w:sz="0" w:space="0" w:color="auto"/>
          </w:divBdr>
          <w:divsChild>
            <w:div w:id="13651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4394">
      <w:bodyDiv w:val="1"/>
      <w:marLeft w:val="0"/>
      <w:marRight w:val="0"/>
      <w:marTop w:val="0"/>
      <w:marBottom w:val="0"/>
      <w:divBdr>
        <w:top w:val="none" w:sz="0" w:space="0" w:color="auto"/>
        <w:left w:val="none" w:sz="0" w:space="0" w:color="auto"/>
        <w:bottom w:val="none" w:sz="0" w:space="0" w:color="auto"/>
        <w:right w:val="none" w:sz="0" w:space="0" w:color="auto"/>
      </w:divBdr>
    </w:div>
    <w:div w:id="487748650">
      <w:bodyDiv w:val="1"/>
      <w:marLeft w:val="0"/>
      <w:marRight w:val="0"/>
      <w:marTop w:val="0"/>
      <w:marBottom w:val="0"/>
      <w:divBdr>
        <w:top w:val="none" w:sz="0" w:space="0" w:color="auto"/>
        <w:left w:val="none" w:sz="0" w:space="0" w:color="auto"/>
        <w:bottom w:val="none" w:sz="0" w:space="0" w:color="auto"/>
        <w:right w:val="none" w:sz="0" w:space="0" w:color="auto"/>
      </w:divBdr>
    </w:div>
    <w:div w:id="654573996">
      <w:bodyDiv w:val="1"/>
      <w:marLeft w:val="0"/>
      <w:marRight w:val="0"/>
      <w:marTop w:val="0"/>
      <w:marBottom w:val="0"/>
      <w:divBdr>
        <w:top w:val="none" w:sz="0" w:space="0" w:color="auto"/>
        <w:left w:val="none" w:sz="0" w:space="0" w:color="auto"/>
        <w:bottom w:val="none" w:sz="0" w:space="0" w:color="auto"/>
        <w:right w:val="none" w:sz="0" w:space="0" w:color="auto"/>
      </w:divBdr>
    </w:div>
    <w:div w:id="741221606">
      <w:bodyDiv w:val="1"/>
      <w:marLeft w:val="0"/>
      <w:marRight w:val="0"/>
      <w:marTop w:val="0"/>
      <w:marBottom w:val="0"/>
      <w:divBdr>
        <w:top w:val="none" w:sz="0" w:space="0" w:color="auto"/>
        <w:left w:val="none" w:sz="0" w:space="0" w:color="auto"/>
        <w:bottom w:val="none" w:sz="0" w:space="0" w:color="auto"/>
        <w:right w:val="none" w:sz="0" w:space="0" w:color="auto"/>
      </w:divBdr>
      <w:divsChild>
        <w:div w:id="1445535737">
          <w:marLeft w:val="0"/>
          <w:marRight w:val="0"/>
          <w:marTop w:val="0"/>
          <w:marBottom w:val="0"/>
          <w:divBdr>
            <w:top w:val="none" w:sz="0" w:space="0" w:color="auto"/>
            <w:left w:val="none" w:sz="0" w:space="0" w:color="auto"/>
            <w:bottom w:val="none" w:sz="0" w:space="0" w:color="auto"/>
            <w:right w:val="none" w:sz="0" w:space="0" w:color="auto"/>
          </w:divBdr>
          <w:divsChild>
            <w:div w:id="73430747">
              <w:marLeft w:val="0"/>
              <w:marRight w:val="0"/>
              <w:marTop w:val="0"/>
              <w:marBottom w:val="0"/>
              <w:divBdr>
                <w:top w:val="none" w:sz="0" w:space="0" w:color="auto"/>
                <w:left w:val="none" w:sz="0" w:space="0" w:color="auto"/>
                <w:bottom w:val="none" w:sz="0" w:space="0" w:color="auto"/>
                <w:right w:val="none" w:sz="0" w:space="0" w:color="auto"/>
              </w:divBdr>
              <w:divsChild>
                <w:div w:id="6528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9751">
      <w:bodyDiv w:val="1"/>
      <w:marLeft w:val="0"/>
      <w:marRight w:val="0"/>
      <w:marTop w:val="0"/>
      <w:marBottom w:val="0"/>
      <w:divBdr>
        <w:top w:val="none" w:sz="0" w:space="0" w:color="auto"/>
        <w:left w:val="none" w:sz="0" w:space="0" w:color="auto"/>
        <w:bottom w:val="none" w:sz="0" w:space="0" w:color="auto"/>
        <w:right w:val="none" w:sz="0" w:space="0" w:color="auto"/>
      </w:divBdr>
    </w:div>
    <w:div w:id="822967775">
      <w:bodyDiv w:val="1"/>
      <w:marLeft w:val="0"/>
      <w:marRight w:val="0"/>
      <w:marTop w:val="0"/>
      <w:marBottom w:val="0"/>
      <w:divBdr>
        <w:top w:val="none" w:sz="0" w:space="0" w:color="auto"/>
        <w:left w:val="none" w:sz="0" w:space="0" w:color="auto"/>
        <w:bottom w:val="none" w:sz="0" w:space="0" w:color="auto"/>
        <w:right w:val="none" w:sz="0" w:space="0" w:color="auto"/>
      </w:divBdr>
    </w:div>
    <w:div w:id="860052062">
      <w:bodyDiv w:val="1"/>
      <w:marLeft w:val="0"/>
      <w:marRight w:val="0"/>
      <w:marTop w:val="0"/>
      <w:marBottom w:val="0"/>
      <w:divBdr>
        <w:top w:val="none" w:sz="0" w:space="0" w:color="auto"/>
        <w:left w:val="none" w:sz="0" w:space="0" w:color="auto"/>
        <w:bottom w:val="none" w:sz="0" w:space="0" w:color="auto"/>
        <w:right w:val="none" w:sz="0" w:space="0" w:color="auto"/>
      </w:divBdr>
    </w:div>
    <w:div w:id="992833879">
      <w:bodyDiv w:val="1"/>
      <w:marLeft w:val="0"/>
      <w:marRight w:val="0"/>
      <w:marTop w:val="0"/>
      <w:marBottom w:val="0"/>
      <w:divBdr>
        <w:top w:val="none" w:sz="0" w:space="0" w:color="auto"/>
        <w:left w:val="none" w:sz="0" w:space="0" w:color="auto"/>
        <w:bottom w:val="none" w:sz="0" w:space="0" w:color="auto"/>
        <w:right w:val="none" w:sz="0" w:space="0" w:color="auto"/>
      </w:divBdr>
    </w:div>
    <w:div w:id="1091006127">
      <w:bodyDiv w:val="1"/>
      <w:marLeft w:val="0"/>
      <w:marRight w:val="0"/>
      <w:marTop w:val="0"/>
      <w:marBottom w:val="0"/>
      <w:divBdr>
        <w:top w:val="none" w:sz="0" w:space="0" w:color="auto"/>
        <w:left w:val="none" w:sz="0" w:space="0" w:color="auto"/>
        <w:bottom w:val="none" w:sz="0" w:space="0" w:color="auto"/>
        <w:right w:val="none" w:sz="0" w:space="0" w:color="auto"/>
      </w:divBdr>
    </w:div>
    <w:div w:id="1320305968">
      <w:bodyDiv w:val="1"/>
      <w:marLeft w:val="0"/>
      <w:marRight w:val="0"/>
      <w:marTop w:val="0"/>
      <w:marBottom w:val="0"/>
      <w:divBdr>
        <w:top w:val="none" w:sz="0" w:space="0" w:color="auto"/>
        <w:left w:val="none" w:sz="0" w:space="0" w:color="auto"/>
        <w:bottom w:val="none" w:sz="0" w:space="0" w:color="auto"/>
        <w:right w:val="none" w:sz="0" w:space="0" w:color="auto"/>
      </w:divBdr>
    </w:div>
    <w:div w:id="1398354786">
      <w:bodyDiv w:val="1"/>
      <w:marLeft w:val="0"/>
      <w:marRight w:val="0"/>
      <w:marTop w:val="0"/>
      <w:marBottom w:val="0"/>
      <w:divBdr>
        <w:top w:val="none" w:sz="0" w:space="0" w:color="auto"/>
        <w:left w:val="none" w:sz="0" w:space="0" w:color="auto"/>
        <w:bottom w:val="none" w:sz="0" w:space="0" w:color="auto"/>
        <w:right w:val="none" w:sz="0" w:space="0" w:color="auto"/>
      </w:divBdr>
    </w:div>
    <w:div w:id="1422485507">
      <w:bodyDiv w:val="1"/>
      <w:marLeft w:val="0"/>
      <w:marRight w:val="0"/>
      <w:marTop w:val="0"/>
      <w:marBottom w:val="0"/>
      <w:divBdr>
        <w:top w:val="none" w:sz="0" w:space="0" w:color="auto"/>
        <w:left w:val="none" w:sz="0" w:space="0" w:color="auto"/>
        <w:bottom w:val="none" w:sz="0" w:space="0" w:color="auto"/>
        <w:right w:val="none" w:sz="0" w:space="0" w:color="auto"/>
      </w:divBdr>
    </w:div>
    <w:div w:id="1427920594">
      <w:bodyDiv w:val="1"/>
      <w:marLeft w:val="0"/>
      <w:marRight w:val="0"/>
      <w:marTop w:val="0"/>
      <w:marBottom w:val="0"/>
      <w:divBdr>
        <w:top w:val="none" w:sz="0" w:space="0" w:color="auto"/>
        <w:left w:val="none" w:sz="0" w:space="0" w:color="auto"/>
        <w:bottom w:val="none" w:sz="0" w:space="0" w:color="auto"/>
        <w:right w:val="none" w:sz="0" w:space="0" w:color="auto"/>
      </w:divBdr>
    </w:div>
    <w:div w:id="1680427387">
      <w:bodyDiv w:val="1"/>
      <w:marLeft w:val="0"/>
      <w:marRight w:val="0"/>
      <w:marTop w:val="0"/>
      <w:marBottom w:val="0"/>
      <w:divBdr>
        <w:top w:val="none" w:sz="0" w:space="0" w:color="auto"/>
        <w:left w:val="none" w:sz="0" w:space="0" w:color="auto"/>
        <w:bottom w:val="none" w:sz="0" w:space="0" w:color="auto"/>
        <w:right w:val="none" w:sz="0" w:space="0" w:color="auto"/>
      </w:divBdr>
      <w:divsChild>
        <w:div w:id="897017402">
          <w:marLeft w:val="0"/>
          <w:marRight w:val="0"/>
          <w:marTop w:val="0"/>
          <w:marBottom w:val="0"/>
          <w:divBdr>
            <w:top w:val="none" w:sz="0" w:space="0" w:color="auto"/>
            <w:left w:val="none" w:sz="0" w:space="0" w:color="auto"/>
            <w:bottom w:val="none" w:sz="0" w:space="0" w:color="auto"/>
            <w:right w:val="none" w:sz="0" w:space="0" w:color="auto"/>
          </w:divBdr>
          <w:divsChild>
            <w:div w:id="277301278">
              <w:marLeft w:val="0"/>
              <w:marRight w:val="0"/>
              <w:marTop w:val="0"/>
              <w:marBottom w:val="0"/>
              <w:divBdr>
                <w:top w:val="none" w:sz="0" w:space="0" w:color="auto"/>
                <w:left w:val="none" w:sz="0" w:space="0" w:color="auto"/>
                <w:bottom w:val="none" w:sz="0" w:space="0" w:color="auto"/>
                <w:right w:val="none" w:sz="0" w:space="0" w:color="auto"/>
              </w:divBdr>
              <w:divsChild>
                <w:div w:id="1262303290">
                  <w:marLeft w:val="0"/>
                  <w:marRight w:val="0"/>
                  <w:marTop w:val="0"/>
                  <w:marBottom w:val="0"/>
                  <w:divBdr>
                    <w:top w:val="none" w:sz="0" w:space="0" w:color="auto"/>
                    <w:left w:val="none" w:sz="0" w:space="0" w:color="auto"/>
                    <w:bottom w:val="none" w:sz="0" w:space="0" w:color="auto"/>
                    <w:right w:val="none" w:sz="0" w:space="0" w:color="auto"/>
                  </w:divBdr>
                  <w:divsChild>
                    <w:div w:id="20482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3370">
      <w:bodyDiv w:val="1"/>
      <w:marLeft w:val="0"/>
      <w:marRight w:val="0"/>
      <w:marTop w:val="0"/>
      <w:marBottom w:val="0"/>
      <w:divBdr>
        <w:top w:val="none" w:sz="0" w:space="0" w:color="auto"/>
        <w:left w:val="none" w:sz="0" w:space="0" w:color="auto"/>
        <w:bottom w:val="none" w:sz="0" w:space="0" w:color="auto"/>
        <w:right w:val="none" w:sz="0" w:space="0" w:color="auto"/>
      </w:divBdr>
      <w:divsChild>
        <w:div w:id="1570769676">
          <w:marLeft w:val="0"/>
          <w:marRight w:val="0"/>
          <w:marTop w:val="0"/>
          <w:marBottom w:val="0"/>
          <w:divBdr>
            <w:top w:val="none" w:sz="0" w:space="0" w:color="auto"/>
            <w:left w:val="none" w:sz="0" w:space="0" w:color="auto"/>
            <w:bottom w:val="none" w:sz="0" w:space="0" w:color="auto"/>
            <w:right w:val="none" w:sz="0" w:space="0" w:color="auto"/>
          </w:divBdr>
          <w:divsChild>
            <w:div w:id="523251107">
              <w:marLeft w:val="0"/>
              <w:marRight w:val="0"/>
              <w:marTop w:val="0"/>
              <w:marBottom w:val="0"/>
              <w:divBdr>
                <w:top w:val="none" w:sz="0" w:space="0" w:color="auto"/>
                <w:left w:val="none" w:sz="0" w:space="0" w:color="auto"/>
                <w:bottom w:val="none" w:sz="0" w:space="0" w:color="auto"/>
                <w:right w:val="none" w:sz="0" w:space="0" w:color="auto"/>
              </w:divBdr>
              <w:divsChild>
                <w:div w:id="10437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39885">
      <w:bodyDiv w:val="1"/>
      <w:marLeft w:val="0"/>
      <w:marRight w:val="0"/>
      <w:marTop w:val="0"/>
      <w:marBottom w:val="0"/>
      <w:divBdr>
        <w:top w:val="none" w:sz="0" w:space="0" w:color="auto"/>
        <w:left w:val="none" w:sz="0" w:space="0" w:color="auto"/>
        <w:bottom w:val="none" w:sz="0" w:space="0" w:color="auto"/>
        <w:right w:val="none" w:sz="0" w:space="0" w:color="auto"/>
      </w:divBdr>
      <w:divsChild>
        <w:div w:id="774525020">
          <w:marLeft w:val="0"/>
          <w:marRight w:val="0"/>
          <w:marTop w:val="0"/>
          <w:marBottom w:val="0"/>
          <w:divBdr>
            <w:top w:val="none" w:sz="0" w:space="0" w:color="auto"/>
            <w:left w:val="none" w:sz="0" w:space="0" w:color="auto"/>
            <w:bottom w:val="none" w:sz="0" w:space="0" w:color="auto"/>
            <w:right w:val="none" w:sz="0" w:space="0" w:color="auto"/>
          </w:divBdr>
          <w:divsChild>
            <w:div w:id="1953828603">
              <w:marLeft w:val="0"/>
              <w:marRight w:val="0"/>
              <w:marTop w:val="0"/>
              <w:marBottom w:val="0"/>
              <w:divBdr>
                <w:top w:val="none" w:sz="0" w:space="0" w:color="auto"/>
                <w:left w:val="none" w:sz="0" w:space="0" w:color="auto"/>
                <w:bottom w:val="none" w:sz="0" w:space="0" w:color="auto"/>
                <w:right w:val="none" w:sz="0" w:space="0" w:color="auto"/>
              </w:divBdr>
              <w:divsChild>
                <w:div w:id="19579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6879">
      <w:bodyDiv w:val="1"/>
      <w:marLeft w:val="0"/>
      <w:marRight w:val="0"/>
      <w:marTop w:val="0"/>
      <w:marBottom w:val="0"/>
      <w:divBdr>
        <w:top w:val="none" w:sz="0" w:space="0" w:color="auto"/>
        <w:left w:val="none" w:sz="0" w:space="0" w:color="auto"/>
        <w:bottom w:val="none" w:sz="0" w:space="0" w:color="auto"/>
        <w:right w:val="none" w:sz="0" w:space="0" w:color="auto"/>
      </w:divBdr>
    </w:div>
    <w:div w:id="1791588387">
      <w:bodyDiv w:val="1"/>
      <w:marLeft w:val="0"/>
      <w:marRight w:val="0"/>
      <w:marTop w:val="0"/>
      <w:marBottom w:val="0"/>
      <w:divBdr>
        <w:top w:val="none" w:sz="0" w:space="0" w:color="auto"/>
        <w:left w:val="none" w:sz="0" w:space="0" w:color="auto"/>
        <w:bottom w:val="none" w:sz="0" w:space="0" w:color="auto"/>
        <w:right w:val="none" w:sz="0" w:space="0" w:color="auto"/>
      </w:divBdr>
    </w:div>
    <w:div w:id="1804078708">
      <w:bodyDiv w:val="1"/>
      <w:marLeft w:val="0"/>
      <w:marRight w:val="0"/>
      <w:marTop w:val="0"/>
      <w:marBottom w:val="0"/>
      <w:divBdr>
        <w:top w:val="none" w:sz="0" w:space="0" w:color="auto"/>
        <w:left w:val="none" w:sz="0" w:space="0" w:color="auto"/>
        <w:bottom w:val="none" w:sz="0" w:space="0" w:color="auto"/>
        <w:right w:val="none" w:sz="0" w:space="0" w:color="auto"/>
      </w:divBdr>
    </w:div>
    <w:div w:id="2067340702">
      <w:bodyDiv w:val="1"/>
      <w:marLeft w:val="0"/>
      <w:marRight w:val="0"/>
      <w:marTop w:val="0"/>
      <w:marBottom w:val="0"/>
      <w:divBdr>
        <w:top w:val="none" w:sz="0" w:space="0" w:color="auto"/>
        <w:left w:val="none" w:sz="0" w:space="0" w:color="auto"/>
        <w:bottom w:val="none" w:sz="0" w:space="0" w:color="auto"/>
        <w:right w:val="none" w:sz="0" w:space="0" w:color="auto"/>
      </w:divBdr>
      <w:divsChild>
        <w:div w:id="311059553">
          <w:marLeft w:val="0"/>
          <w:marRight w:val="0"/>
          <w:marTop w:val="0"/>
          <w:marBottom w:val="0"/>
          <w:divBdr>
            <w:top w:val="none" w:sz="0" w:space="0" w:color="auto"/>
            <w:left w:val="none" w:sz="0" w:space="0" w:color="auto"/>
            <w:bottom w:val="none" w:sz="0" w:space="0" w:color="auto"/>
            <w:right w:val="none" w:sz="0" w:space="0" w:color="auto"/>
          </w:divBdr>
          <w:divsChild>
            <w:div w:id="1252160931">
              <w:marLeft w:val="0"/>
              <w:marRight w:val="0"/>
              <w:marTop w:val="0"/>
              <w:marBottom w:val="0"/>
              <w:divBdr>
                <w:top w:val="none" w:sz="0" w:space="0" w:color="auto"/>
                <w:left w:val="none" w:sz="0" w:space="0" w:color="auto"/>
                <w:bottom w:val="none" w:sz="0" w:space="0" w:color="auto"/>
                <w:right w:val="none" w:sz="0" w:space="0" w:color="auto"/>
              </w:divBdr>
              <w:divsChild>
                <w:div w:id="20169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da.gov/drugs/development-resources/table-surrogate-endpoints-were-basis-drug-approval-or-licensure"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org.cn/main/news/viewInfoCommon/c2f79c22e8678241b030c71523eb300c" TargetMode="External"/><Relationship Id="rId5" Type="http://schemas.openxmlformats.org/officeDocument/2006/relationships/settings" Target="settings.xml"/><Relationship Id="rId10" Type="http://schemas.openxmlformats.org/officeDocument/2006/relationships/hyperlink" Target="https://www.cde.org.cn/zdyz/domesticinfopage?zdyzIdCODE=24d174aa6995cf17e7aa12d6aa0317aa"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D61B-1D67-42D8-9A16-78FD3EEC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2053</Words>
  <Characters>11703</Characters>
  <Application>Microsoft Office Word</Application>
  <DocSecurity>0</DocSecurity>
  <Lines>97</Lines>
  <Paragraphs>27</Paragraphs>
  <ScaleCrop>false</ScaleCrop>
  <Company>P R C</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信息运维人员03</cp:lastModifiedBy>
  <cp:revision>5</cp:revision>
  <dcterms:created xsi:type="dcterms:W3CDTF">2022-06-01T02:19:00Z</dcterms:created>
  <dcterms:modified xsi:type="dcterms:W3CDTF">2022-06-21T01:35:00Z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