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7A7B6" w14:textId="77777777" w:rsidR="00C417E0" w:rsidRDefault="00C417E0" w:rsidP="00C417E0">
      <w:pPr>
        <w:jc w:val="left"/>
        <w:rPr>
          <w:rFonts w:ascii="方正小标宋简体" w:eastAsia="方正小标宋简体" w:hAnsi="Calibri" w:cs="Times New Roman"/>
          <w:sz w:val="36"/>
          <w:szCs w:val="36"/>
        </w:rPr>
      </w:pPr>
      <w:bookmarkStart w:id="0" w:name="_GoBack"/>
      <w:bookmarkEnd w:id="0"/>
    </w:p>
    <w:p w14:paraId="5B09B693" w14:textId="768506F7" w:rsidR="00075F16" w:rsidRPr="00075F16" w:rsidRDefault="00A5011F" w:rsidP="001F5866">
      <w:pPr>
        <w:jc w:val="center"/>
        <w:rPr>
          <w:rFonts w:ascii="方正小标宋简体" w:eastAsia="方正小标宋简体"/>
          <w:sz w:val="36"/>
          <w:szCs w:val="36"/>
        </w:rPr>
      </w:pPr>
      <w:r w:rsidRPr="00A5011F">
        <w:rPr>
          <w:rFonts w:ascii="方正小标宋简体" w:eastAsia="方正小标宋简体" w:hAnsi="Calibri" w:cs="Times New Roman" w:hint="eastAsia"/>
          <w:sz w:val="36"/>
          <w:szCs w:val="36"/>
        </w:rPr>
        <w:t>《</w:t>
      </w:r>
      <w:r w:rsidR="00830284" w:rsidRPr="00830284">
        <w:rPr>
          <w:rFonts w:ascii="方正小标宋简体" w:eastAsia="方正小标宋简体" w:hAnsi="Calibri" w:cs="Times New Roman" w:hint="eastAsia"/>
          <w:sz w:val="36"/>
          <w:szCs w:val="36"/>
        </w:rPr>
        <w:t>慢性淋巴细胞白血病新药临床研发指导原则</w:t>
      </w:r>
      <w:r w:rsidR="001F5866" w:rsidRPr="001F5866">
        <w:rPr>
          <w:rFonts w:ascii="方正小标宋简体" w:eastAsia="方正小标宋简体" w:hAnsi="Calibri" w:cs="Times New Roman" w:hint="eastAsia"/>
          <w:sz w:val="36"/>
          <w:szCs w:val="36"/>
        </w:rPr>
        <w:t>（征求意见稿）</w:t>
      </w:r>
      <w:r w:rsidR="00075F16" w:rsidRPr="00075F16">
        <w:rPr>
          <w:rFonts w:ascii="方正小标宋简体" w:eastAsia="方正小标宋简体" w:hAnsi="Calibri" w:cs="Times New Roman" w:hint="eastAsia"/>
          <w:sz w:val="36"/>
          <w:szCs w:val="36"/>
        </w:rPr>
        <w:t>》起草说明</w:t>
      </w:r>
    </w:p>
    <w:p w14:paraId="1EAE0DDB" w14:textId="0DCBFFD5" w:rsidR="00075F16" w:rsidRPr="00075F16" w:rsidRDefault="00F72A17" w:rsidP="00075F16">
      <w:pPr>
        <w:ind w:firstLineChars="175" w:firstLine="560"/>
        <w:rPr>
          <w:rFonts w:ascii="仿宋" w:eastAsia="仿宋" w:hAnsi="仿宋" w:cs="Times New Roman"/>
          <w:color w:val="000000"/>
          <w:sz w:val="32"/>
          <w:szCs w:val="32"/>
        </w:rPr>
      </w:pPr>
      <w:r w:rsidRPr="00F72A17">
        <w:rPr>
          <w:rFonts w:ascii="仿宋" w:eastAsia="仿宋" w:hAnsi="仿宋" w:cs="Times New Roman" w:hint="eastAsia"/>
          <w:color w:val="000000"/>
          <w:sz w:val="32"/>
          <w:szCs w:val="32"/>
        </w:rPr>
        <w:t>为鼓励抗肿瘤新药研发，进一步</w:t>
      </w:r>
      <w:r w:rsidR="00742B29">
        <w:rPr>
          <w:rFonts w:ascii="仿宋" w:eastAsia="仿宋" w:hAnsi="仿宋" w:cs="Times New Roman" w:hint="eastAsia"/>
          <w:color w:val="000000"/>
          <w:sz w:val="32"/>
          <w:szCs w:val="32"/>
        </w:rPr>
        <w:t>为</w:t>
      </w:r>
      <w:r w:rsidR="00742B29" w:rsidRPr="00AD2B35">
        <w:rPr>
          <w:rFonts w:ascii="Times New Roman" w:eastAsia="仿宋" w:hAnsi="Times New Roman" w:hint="eastAsia"/>
          <w:sz w:val="32"/>
          <w:szCs w:val="32"/>
        </w:rPr>
        <w:t>慢性淋巴细胞白血病（</w:t>
      </w:r>
      <w:r w:rsidR="00742B29" w:rsidRPr="00AD2B35">
        <w:rPr>
          <w:rFonts w:ascii="Times New Roman" w:eastAsia="仿宋" w:hAnsi="Times New Roman" w:hint="eastAsia"/>
          <w:sz w:val="32"/>
          <w:szCs w:val="32"/>
        </w:rPr>
        <w:t>Chronic lymphocytic leukemia</w:t>
      </w:r>
      <w:r w:rsidR="00742B29" w:rsidRPr="00AD2B35">
        <w:rPr>
          <w:rFonts w:ascii="Times New Roman" w:eastAsia="仿宋" w:hAnsi="Times New Roman" w:hint="eastAsia"/>
          <w:sz w:val="32"/>
          <w:szCs w:val="32"/>
        </w:rPr>
        <w:t>，</w:t>
      </w:r>
      <w:r w:rsidR="00742B29" w:rsidRPr="00AD2B35">
        <w:rPr>
          <w:rFonts w:ascii="Times New Roman" w:eastAsia="仿宋" w:hAnsi="Times New Roman" w:hint="eastAsia"/>
          <w:sz w:val="32"/>
          <w:szCs w:val="32"/>
        </w:rPr>
        <w:t>CLL</w:t>
      </w:r>
      <w:r w:rsidR="00742B29" w:rsidRPr="00AD2B35">
        <w:rPr>
          <w:rFonts w:ascii="Times New Roman" w:eastAsia="仿宋" w:hAnsi="Times New Roman" w:hint="eastAsia"/>
          <w:sz w:val="32"/>
          <w:szCs w:val="32"/>
        </w:rPr>
        <w:t>）</w:t>
      </w:r>
      <w:r w:rsidR="00742B29">
        <w:rPr>
          <w:rFonts w:ascii="仿宋" w:eastAsia="仿宋" w:hAnsi="仿宋" w:cs="Times New Roman" w:hint="eastAsia"/>
          <w:color w:val="000000"/>
          <w:sz w:val="32"/>
          <w:szCs w:val="32"/>
        </w:rPr>
        <w:t>新药研发</w:t>
      </w:r>
      <w:r w:rsidR="00742B29">
        <w:rPr>
          <w:rFonts w:ascii="仿宋" w:eastAsia="仿宋" w:hAnsi="仿宋" w:cs="Times New Roman"/>
          <w:color w:val="000000"/>
          <w:sz w:val="32"/>
          <w:szCs w:val="32"/>
        </w:rPr>
        <w:t>的临床</w:t>
      </w:r>
      <w:r w:rsidR="00742B29">
        <w:rPr>
          <w:rFonts w:ascii="仿宋" w:eastAsia="仿宋" w:hAnsi="仿宋" w:cs="Times New Roman" w:hint="eastAsia"/>
          <w:color w:val="000000"/>
          <w:sz w:val="32"/>
          <w:szCs w:val="32"/>
        </w:rPr>
        <w:t>研发</w:t>
      </w:r>
      <w:r w:rsidR="00742B29">
        <w:rPr>
          <w:rFonts w:ascii="仿宋" w:eastAsia="仿宋" w:hAnsi="仿宋" w:cs="Times New Roman"/>
          <w:color w:val="000000"/>
          <w:sz w:val="32"/>
          <w:szCs w:val="32"/>
        </w:rPr>
        <w:t>计划和方案设计</w:t>
      </w:r>
      <w:r w:rsidRPr="00F72A17">
        <w:rPr>
          <w:rFonts w:ascii="仿宋" w:eastAsia="仿宋" w:hAnsi="仿宋" w:cs="Times New Roman"/>
          <w:color w:val="000000"/>
          <w:sz w:val="32"/>
          <w:szCs w:val="32"/>
        </w:rPr>
        <w:t>提供可参考的技术标准，药品审评中心组织起草了《</w:t>
      </w:r>
      <w:r w:rsidR="00742B29" w:rsidRPr="00742B29">
        <w:rPr>
          <w:rFonts w:ascii="仿宋" w:eastAsia="仿宋" w:hAnsi="仿宋" w:cs="Times New Roman" w:hint="eastAsia"/>
          <w:color w:val="000000"/>
          <w:sz w:val="32"/>
          <w:szCs w:val="32"/>
        </w:rPr>
        <w:t>慢性淋巴细胞白血病新药临床研发指导原则</w:t>
      </w:r>
      <w:r w:rsidRPr="00F72A17">
        <w:rPr>
          <w:rFonts w:ascii="仿宋" w:eastAsia="仿宋" w:hAnsi="仿宋" w:cs="Times New Roman"/>
          <w:color w:val="000000"/>
          <w:sz w:val="32"/>
          <w:szCs w:val="32"/>
        </w:rPr>
        <w:t>（征求意见稿）》，并征求部分专家意见后，形成初稿。现将有关情况说明如下</w:t>
      </w:r>
      <w:r w:rsidR="00075F16"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：</w:t>
      </w:r>
    </w:p>
    <w:p w14:paraId="165645FB" w14:textId="77777777" w:rsidR="00075F16" w:rsidRPr="00075F16" w:rsidRDefault="00075F16" w:rsidP="00075F16">
      <w:pPr>
        <w:ind w:firstLineChars="196" w:firstLine="630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075F1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一、背景和目的</w:t>
      </w:r>
    </w:p>
    <w:p w14:paraId="60BC1277" w14:textId="3B9A9CE7" w:rsidR="00262FF6" w:rsidRDefault="001656BF" w:rsidP="001656BF">
      <w:pPr>
        <w:autoSpaceDE w:val="0"/>
        <w:autoSpaceDN w:val="0"/>
        <w:adjustRightInd w:val="0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慢性</w:t>
      </w:r>
      <w:r>
        <w:rPr>
          <w:rFonts w:ascii="仿宋_GB2312" w:eastAsia="仿宋_GB2312" w:hAnsi="Calibri" w:cs="Times New Roman"/>
          <w:sz w:val="32"/>
          <w:szCs w:val="32"/>
        </w:rPr>
        <w:t>淋巴细胞白血病</w:t>
      </w:r>
      <w:r>
        <w:rPr>
          <w:rFonts w:ascii="仿宋_GB2312" w:eastAsia="仿宋_GB2312" w:hAnsi="Calibri" w:cs="Times New Roman" w:hint="eastAsia"/>
          <w:sz w:val="32"/>
          <w:szCs w:val="32"/>
        </w:rPr>
        <w:t>（CLL）是一种</w:t>
      </w:r>
      <w:r>
        <w:rPr>
          <w:rFonts w:ascii="仿宋_GB2312" w:eastAsia="仿宋_GB2312" w:hAnsi="Calibri" w:cs="Times New Roman"/>
          <w:sz w:val="32"/>
          <w:szCs w:val="32"/>
        </w:rPr>
        <w:t>高发</w:t>
      </w:r>
      <w:r>
        <w:rPr>
          <w:rFonts w:ascii="仿宋_GB2312" w:eastAsia="仿宋_GB2312" w:hAnsi="Calibri" w:cs="Times New Roman" w:hint="eastAsia"/>
          <w:sz w:val="32"/>
          <w:szCs w:val="32"/>
        </w:rPr>
        <w:t>于</w:t>
      </w:r>
      <w:r>
        <w:rPr>
          <w:rFonts w:ascii="仿宋_GB2312" w:eastAsia="仿宋_GB2312" w:hAnsi="Calibri" w:cs="Times New Roman"/>
          <w:sz w:val="32"/>
          <w:szCs w:val="32"/>
        </w:rPr>
        <w:t>中老年人群的血液系统</w:t>
      </w:r>
      <w:r>
        <w:rPr>
          <w:rFonts w:ascii="仿宋_GB2312" w:eastAsia="仿宋_GB2312" w:hAnsi="Calibri" w:cs="Times New Roman" w:hint="eastAsia"/>
          <w:sz w:val="32"/>
          <w:szCs w:val="32"/>
        </w:rPr>
        <w:t>克隆增殖性</w:t>
      </w:r>
      <w:r>
        <w:rPr>
          <w:rFonts w:ascii="仿宋_GB2312" w:eastAsia="仿宋_GB2312" w:hAnsi="Calibri" w:cs="Times New Roman"/>
          <w:sz w:val="32"/>
          <w:szCs w:val="32"/>
        </w:rPr>
        <w:t>肿瘤，随着</w:t>
      </w:r>
      <w:r>
        <w:rPr>
          <w:rFonts w:ascii="仿宋_GB2312" w:eastAsia="仿宋_GB2312" w:hAnsi="Calibri" w:cs="Times New Roman" w:hint="eastAsia"/>
          <w:sz w:val="32"/>
          <w:szCs w:val="32"/>
        </w:rPr>
        <w:t>中国</w:t>
      </w:r>
      <w:r>
        <w:rPr>
          <w:rFonts w:ascii="仿宋_GB2312" w:eastAsia="仿宋_GB2312" w:hAnsi="Calibri" w:cs="Times New Roman"/>
          <w:sz w:val="32"/>
          <w:szCs w:val="32"/>
        </w:rPr>
        <w:t>社会老龄化程度</w:t>
      </w:r>
      <w:r>
        <w:rPr>
          <w:rFonts w:ascii="仿宋_GB2312" w:eastAsia="仿宋_GB2312" w:hAnsi="Calibri" w:cs="Times New Roman" w:hint="eastAsia"/>
          <w:sz w:val="32"/>
          <w:szCs w:val="32"/>
        </w:rPr>
        <w:t>加深</w:t>
      </w:r>
      <w:r>
        <w:rPr>
          <w:rFonts w:ascii="仿宋_GB2312" w:eastAsia="仿宋_GB2312" w:hAnsi="Calibri" w:cs="Times New Roman"/>
          <w:sz w:val="32"/>
          <w:szCs w:val="32"/>
        </w:rPr>
        <w:t>，</w:t>
      </w:r>
      <w:r>
        <w:rPr>
          <w:rFonts w:ascii="仿宋_GB2312" w:eastAsia="仿宋_GB2312" w:hAnsi="Calibri" w:cs="Times New Roman" w:hint="eastAsia"/>
          <w:sz w:val="32"/>
          <w:szCs w:val="32"/>
        </w:rPr>
        <w:t>在</w:t>
      </w:r>
      <w:r>
        <w:rPr>
          <w:rFonts w:ascii="仿宋_GB2312" w:eastAsia="仿宋_GB2312" w:hAnsi="Calibri" w:cs="Times New Roman"/>
          <w:sz w:val="32"/>
          <w:szCs w:val="32"/>
        </w:rPr>
        <w:t>整体人群中的发病率成增高趋势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  <w:r>
        <w:rPr>
          <w:rFonts w:ascii="仿宋_GB2312" w:eastAsia="仿宋_GB2312" w:hAnsi="Calibri" w:cs="Times New Roman"/>
          <w:sz w:val="32"/>
          <w:szCs w:val="32"/>
        </w:rPr>
        <w:t>近年来</w:t>
      </w:r>
      <w:r>
        <w:rPr>
          <w:rFonts w:ascii="仿宋_GB2312" w:eastAsia="仿宋_GB2312" w:hAnsi="Calibri" w:cs="Times New Roman" w:hint="eastAsia"/>
          <w:sz w:val="32"/>
          <w:szCs w:val="32"/>
        </w:rPr>
        <w:t>，CLL适应症成为</w:t>
      </w:r>
      <w:r>
        <w:rPr>
          <w:rFonts w:ascii="仿宋_GB2312" w:eastAsia="仿宋_GB2312" w:hAnsi="Calibri" w:cs="Times New Roman"/>
          <w:sz w:val="32"/>
          <w:szCs w:val="32"/>
        </w:rPr>
        <w:t>新药研发</w:t>
      </w:r>
      <w:r>
        <w:rPr>
          <w:rFonts w:ascii="仿宋_GB2312" w:eastAsia="仿宋_GB2312" w:hAnsi="Calibri" w:cs="Times New Roman" w:hint="eastAsia"/>
          <w:sz w:val="32"/>
          <w:szCs w:val="32"/>
        </w:rPr>
        <w:t>的</w:t>
      </w:r>
      <w:r>
        <w:rPr>
          <w:rFonts w:ascii="仿宋_GB2312" w:eastAsia="仿宋_GB2312" w:hAnsi="Calibri" w:cs="Times New Roman"/>
          <w:sz w:val="32"/>
          <w:szCs w:val="32"/>
        </w:rPr>
        <w:t>热点，</w:t>
      </w:r>
      <w:r>
        <w:rPr>
          <w:rFonts w:ascii="仿宋_GB2312" w:eastAsia="仿宋_GB2312" w:hAnsi="Calibri" w:cs="Times New Roman" w:hint="eastAsia"/>
          <w:sz w:val="32"/>
          <w:szCs w:val="32"/>
        </w:rPr>
        <w:t>新的</w:t>
      </w:r>
      <w:r>
        <w:rPr>
          <w:rFonts w:ascii="仿宋_GB2312" w:eastAsia="仿宋_GB2312" w:hAnsi="Calibri" w:cs="Times New Roman"/>
          <w:sz w:val="32"/>
          <w:szCs w:val="32"/>
        </w:rPr>
        <w:t>治疗手段不断涌现，治疗理念和</w:t>
      </w:r>
      <w:r>
        <w:rPr>
          <w:rFonts w:ascii="仿宋_GB2312" w:eastAsia="仿宋_GB2312" w:hAnsi="Calibri" w:cs="Times New Roman" w:hint="eastAsia"/>
          <w:sz w:val="32"/>
          <w:szCs w:val="32"/>
        </w:rPr>
        <w:t>临床</w:t>
      </w:r>
      <w:r>
        <w:rPr>
          <w:rFonts w:ascii="仿宋_GB2312" w:eastAsia="仿宋_GB2312" w:hAnsi="Calibri" w:cs="Times New Roman"/>
          <w:sz w:val="32"/>
          <w:szCs w:val="32"/>
        </w:rPr>
        <w:t>实践</w:t>
      </w:r>
      <w:r>
        <w:rPr>
          <w:rFonts w:ascii="仿宋_GB2312" w:eastAsia="仿宋_GB2312" w:hAnsi="Calibri" w:cs="Times New Roman" w:hint="eastAsia"/>
          <w:sz w:val="32"/>
          <w:szCs w:val="32"/>
        </w:rPr>
        <w:t>快速</w:t>
      </w:r>
      <w:r>
        <w:rPr>
          <w:rFonts w:ascii="仿宋_GB2312" w:eastAsia="仿宋_GB2312" w:hAnsi="Calibri" w:cs="Times New Roman"/>
          <w:sz w:val="32"/>
          <w:szCs w:val="32"/>
        </w:rPr>
        <w:t>变化</w:t>
      </w:r>
      <w:r>
        <w:rPr>
          <w:rFonts w:ascii="Times New Roman" w:eastAsia="仿宋" w:hAnsi="Times New Roman" w:hint="eastAsia"/>
          <w:bCs/>
          <w:sz w:val="32"/>
          <w:szCs w:val="32"/>
        </w:rPr>
        <w:t>，</w:t>
      </w:r>
      <w:r>
        <w:rPr>
          <w:rFonts w:ascii="Times New Roman" w:eastAsia="仿宋" w:hAnsi="Times New Roman"/>
          <w:bCs/>
          <w:sz w:val="32"/>
          <w:szCs w:val="32"/>
        </w:rPr>
        <w:t>患者的生存时间和无进展生存时间不断得到延长</w:t>
      </w:r>
      <w:r>
        <w:rPr>
          <w:rFonts w:ascii="仿宋_GB2312" w:eastAsia="仿宋_GB2312" w:hAnsi="Calibri" w:cs="Times New Roman" w:hint="eastAsia"/>
          <w:sz w:val="32"/>
          <w:szCs w:val="32"/>
        </w:rPr>
        <w:t>。同时，CLL具有进展</w:t>
      </w:r>
      <w:r>
        <w:rPr>
          <w:rFonts w:ascii="仿宋_GB2312" w:eastAsia="仿宋_GB2312" w:hAnsi="Calibri" w:cs="Times New Roman"/>
          <w:sz w:val="32"/>
          <w:szCs w:val="32"/>
        </w:rPr>
        <w:t>相对惰性和高发</w:t>
      </w:r>
      <w:r>
        <w:rPr>
          <w:rFonts w:ascii="仿宋_GB2312" w:eastAsia="仿宋_GB2312" w:hAnsi="Calibri" w:cs="Times New Roman" w:hint="eastAsia"/>
          <w:sz w:val="32"/>
          <w:szCs w:val="32"/>
        </w:rPr>
        <w:t>于</w:t>
      </w:r>
      <w:r>
        <w:rPr>
          <w:rFonts w:ascii="仿宋_GB2312" w:eastAsia="仿宋_GB2312" w:hAnsi="Calibri" w:cs="Times New Roman"/>
          <w:sz w:val="32"/>
          <w:szCs w:val="32"/>
        </w:rPr>
        <w:t>老年人</w:t>
      </w:r>
      <w:r>
        <w:rPr>
          <w:rFonts w:ascii="仿宋_GB2312" w:eastAsia="仿宋_GB2312" w:hAnsi="Calibri" w:cs="Times New Roman" w:hint="eastAsia"/>
          <w:sz w:val="32"/>
          <w:szCs w:val="32"/>
        </w:rPr>
        <w:t>的</w:t>
      </w:r>
      <w:r>
        <w:rPr>
          <w:rFonts w:ascii="仿宋_GB2312" w:eastAsia="仿宋_GB2312" w:hAnsi="Calibri" w:cs="Times New Roman"/>
          <w:sz w:val="32"/>
          <w:szCs w:val="32"/>
        </w:rPr>
        <w:t>特点，</w:t>
      </w:r>
      <w:r>
        <w:rPr>
          <w:rFonts w:ascii="仿宋_GB2312" w:eastAsia="仿宋_GB2312" w:hAnsi="Calibri" w:cs="Times New Roman" w:hint="eastAsia"/>
          <w:sz w:val="32"/>
          <w:szCs w:val="32"/>
        </w:rPr>
        <w:t>上述</w:t>
      </w:r>
      <w:r>
        <w:rPr>
          <w:rFonts w:ascii="仿宋_GB2312" w:eastAsia="仿宋_GB2312" w:hAnsi="Calibri" w:cs="Times New Roman"/>
          <w:sz w:val="32"/>
          <w:szCs w:val="32"/>
        </w:rPr>
        <w:t>特征给</w:t>
      </w:r>
      <w:r w:rsidRPr="00B8371C">
        <w:rPr>
          <w:rFonts w:ascii="仿宋_GB2312" w:eastAsia="仿宋_GB2312" w:hAnsi="Calibri" w:cs="Times New Roman" w:hint="eastAsia"/>
          <w:sz w:val="32"/>
          <w:szCs w:val="32"/>
        </w:rPr>
        <w:t>新药临床试验的设计和执行</w:t>
      </w:r>
      <w:r>
        <w:rPr>
          <w:rFonts w:ascii="仿宋_GB2312" w:eastAsia="仿宋_GB2312" w:hAnsi="Calibri" w:cs="Times New Roman" w:hint="eastAsia"/>
          <w:sz w:val="32"/>
          <w:szCs w:val="32"/>
        </w:rPr>
        <w:t>带来不同于</w:t>
      </w:r>
      <w:r>
        <w:rPr>
          <w:rFonts w:ascii="仿宋_GB2312" w:eastAsia="仿宋_GB2312" w:hAnsi="Calibri" w:cs="Times New Roman"/>
          <w:sz w:val="32"/>
          <w:szCs w:val="32"/>
        </w:rPr>
        <w:t>其他恶性肿瘤的</w:t>
      </w:r>
      <w:r w:rsidRPr="00B8371C">
        <w:rPr>
          <w:rFonts w:ascii="仿宋_GB2312" w:eastAsia="仿宋_GB2312" w:hAnsi="Calibri" w:cs="Times New Roman" w:hint="eastAsia"/>
          <w:sz w:val="32"/>
          <w:szCs w:val="32"/>
        </w:rPr>
        <w:t>挑战</w:t>
      </w:r>
      <w:r>
        <w:rPr>
          <w:rFonts w:ascii="仿宋_GB2312" w:eastAsia="仿宋_GB2312" w:hAnsi="Calibri" w:cs="Times New Roman" w:hint="eastAsia"/>
          <w:sz w:val="32"/>
          <w:szCs w:val="32"/>
        </w:rPr>
        <w:t>，C</w:t>
      </w:r>
      <w:r>
        <w:rPr>
          <w:rFonts w:ascii="仿宋_GB2312" w:eastAsia="仿宋_GB2312" w:hAnsi="Calibri" w:cs="Times New Roman"/>
          <w:sz w:val="32"/>
          <w:szCs w:val="32"/>
        </w:rPr>
        <w:t>LL</w:t>
      </w:r>
      <w:r>
        <w:rPr>
          <w:rFonts w:ascii="仿宋_GB2312" w:eastAsia="仿宋_GB2312" w:hAnsi="Calibri" w:cs="Times New Roman" w:hint="eastAsia"/>
          <w:sz w:val="32"/>
          <w:szCs w:val="32"/>
        </w:rPr>
        <w:t>的</w:t>
      </w:r>
      <w:r>
        <w:rPr>
          <w:rFonts w:ascii="仿宋_GB2312" w:eastAsia="仿宋_GB2312" w:hAnsi="Calibri" w:cs="Times New Roman"/>
          <w:sz w:val="32"/>
          <w:szCs w:val="32"/>
        </w:rPr>
        <w:t>治疗和管理需要</w:t>
      </w:r>
      <w:r>
        <w:rPr>
          <w:rFonts w:ascii="仿宋_GB2312" w:eastAsia="仿宋_GB2312" w:hAnsi="Calibri" w:cs="Times New Roman" w:hint="eastAsia"/>
          <w:sz w:val="32"/>
          <w:szCs w:val="32"/>
        </w:rPr>
        <w:t>更加</w:t>
      </w:r>
      <w:r>
        <w:rPr>
          <w:rFonts w:ascii="仿宋_GB2312" w:eastAsia="仿宋_GB2312" w:hAnsi="Calibri" w:cs="Times New Roman"/>
          <w:sz w:val="32"/>
          <w:szCs w:val="32"/>
        </w:rPr>
        <w:t>关注如何</w:t>
      </w:r>
      <w:r>
        <w:rPr>
          <w:rFonts w:ascii="仿宋_GB2312" w:eastAsia="仿宋_GB2312" w:hAnsi="Calibri" w:cs="Times New Roman" w:hint="eastAsia"/>
          <w:sz w:val="32"/>
          <w:szCs w:val="32"/>
        </w:rPr>
        <w:t>在</w:t>
      </w:r>
      <w:r w:rsidRPr="00B8371C">
        <w:rPr>
          <w:rFonts w:ascii="仿宋_GB2312" w:eastAsia="仿宋_GB2312" w:hAnsi="Calibri" w:cs="Times New Roman"/>
          <w:sz w:val="32"/>
          <w:szCs w:val="32"/>
        </w:rPr>
        <w:t>保持和改善患者生活质量与传统抗肿瘤治疗理念之间</w:t>
      </w:r>
      <w:r>
        <w:rPr>
          <w:rFonts w:ascii="仿宋_GB2312" w:eastAsia="仿宋_GB2312" w:hAnsi="Calibri" w:cs="Times New Roman" w:hint="eastAsia"/>
          <w:sz w:val="32"/>
          <w:szCs w:val="32"/>
        </w:rPr>
        <w:t>达到</w:t>
      </w:r>
      <w:r w:rsidRPr="00B8371C">
        <w:rPr>
          <w:rFonts w:ascii="仿宋_GB2312" w:eastAsia="仿宋_GB2312" w:hAnsi="Calibri" w:cs="Times New Roman"/>
          <w:sz w:val="32"/>
          <w:szCs w:val="32"/>
        </w:rPr>
        <w:t>平衡。</w:t>
      </w:r>
    </w:p>
    <w:p w14:paraId="6BEBC028" w14:textId="5DB87EDE" w:rsidR="003A004A" w:rsidRDefault="00262FF6" w:rsidP="00AA72F3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262FF6">
        <w:rPr>
          <w:rFonts w:ascii="仿宋" w:eastAsia="仿宋" w:hAnsi="仿宋" w:cs="Times New Roman" w:hint="eastAsia"/>
          <w:color w:val="000000"/>
          <w:sz w:val="32"/>
          <w:szCs w:val="32"/>
        </w:rPr>
        <w:t>本技术指导原则</w:t>
      </w:r>
      <w:r w:rsidR="001656BF">
        <w:rPr>
          <w:rFonts w:ascii="仿宋" w:eastAsia="仿宋" w:hAnsi="仿宋" w:cs="Times New Roman" w:hint="eastAsia"/>
          <w:color w:val="000000"/>
          <w:sz w:val="32"/>
          <w:szCs w:val="32"/>
        </w:rPr>
        <w:t>结合CLL的</w:t>
      </w:r>
      <w:r w:rsidR="001656BF">
        <w:rPr>
          <w:rFonts w:ascii="仿宋" w:eastAsia="仿宋" w:hAnsi="仿宋" w:cs="Times New Roman"/>
          <w:color w:val="000000"/>
          <w:sz w:val="32"/>
          <w:szCs w:val="32"/>
        </w:rPr>
        <w:t>疾病特征</w:t>
      </w:r>
      <w:r w:rsidR="001656BF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="001656BF">
        <w:rPr>
          <w:rFonts w:ascii="仿宋" w:eastAsia="仿宋" w:hAnsi="仿宋" w:cs="Times New Roman"/>
          <w:color w:val="000000"/>
          <w:sz w:val="32"/>
          <w:szCs w:val="32"/>
        </w:rPr>
        <w:t>立足于当前的临床实践，结合</w:t>
      </w:r>
      <w:r w:rsidR="001656BF" w:rsidRPr="001656BF">
        <w:rPr>
          <w:rFonts w:ascii="仿宋" w:eastAsia="仿宋" w:hAnsi="仿宋" w:cs="Times New Roman" w:hint="eastAsia"/>
          <w:color w:val="000000"/>
          <w:sz w:val="32"/>
          <w:szCs w:val="32"/>
        </w:rPr>
        <w:t>近年来新药研发的经验和挑战，就</w:t>
      </w:r>
      <w:r w:rsidR="001656BF" w:rsidRPr="001656BF">
        <w:rPr>
          <w:rFonts w:ascii="仿宋" w:eastAsia="仿宋" w:hAnsi="仿宋" w:cs="Times New Roman"/>
          <w:color w:val="000000"/>
          <w:sz w:val="32"/>
          <w:szCs w:val="32"/>
        </w:rPr>
        <w:t>CLL新药临床</w:t>
      </w:r>
      <w:r w:rsidR="001656BF">
        <w:rPr>
          <w:rFonts w:ascii="仿宋" w:eastAsia="仿宋" w:hAnsi="仿宋" w:cs="Times New Roman"/>
          <w:color w:val="000000"/>
          <w:sz w:val="32"/>
          <w:szCs w:val="32"/>
        </w:rPr>
        <w:t>研究如何在设计和执行过程中充分考虑疾病特征和患者需</w:t>
      </w:r>
      <w:r w:rsidR="001656BF">
        <w:rPr>
          <w:rFonts w:ascii="仿宋" w:eastAsia="仿宋" w:hAnsi="仿宋" w:cs="Times New Roman"/>
          <w:color w:val="000000"/>
          <w:sz w:val="32"/>
          <w:szCs w:val="32"/>
        </w:rPr>
        <w:lastRenderedPageBreak/>
        <w:t>求提出观点</w:t>
      </w:r>
      <w:r w:rsidR="001656BF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  <w:r w:rsidR="001656BF">
        <w:rPr>
          <w:rFonts w:ascii="仿宋" w:eastAsia="仿宋" w:hAnsi="仿宋" w:cs="Times New Roman"/>
          <w:color w:val="000000"/>
          <w:sz w:val="32"/>
          <w:szCs w:val="32"/>
        </w:rPr>
        <w:t>该指导原则</w:t>
      </w:r>
      <w:r w:rsidR="001656BF">
        <w:rPr>
          <w:rFonts w:ascii="仿宋_GB2312" w:eastAsia="仿宋_GB2312" w:hint="eastAsia"/>
          <w:sz w:val="32"/>
          <w:szCs w:val="32"/>
        </w:rPr>
        <w:t>积极</w:t>
      </w:r>
      <w:r w:rsidR="001656BF">
        <w:rPr>
          <w:rFonts w:ascii="仿宋_GB2312" w:eastAsia="仿宋_GB2312" w:hAnsi="Calibri" w:cs="Times New Roman"/>
          <w:sz w:val="32"/>
          <w:szCs w:val="32"/>
        </w:rPr>
        <w:t>推动</w:t>
      </w:r>
      <w:r w:rsidR="001656BF">
        <w:rPr>
          <w:rFonts w:ascii="仿宋_GB2312" w:eastAsia="仿宋_GB2312" w:hAnsi="Calibri" w:cs="Times New Roman" w:hint="eastAsia"/>
          <w:sz w:val="32"/>
          <w:szCs w:val="32"/>
        </w:rPr>
        <w:t>以</w:t>
      </w:r>
      <w:r w:rsidR="001656BF">
        <w:rPr>
          <w:rFonts w:ascii="仿宋_GB2312" w:eastAsia="仿宋_GB2312" w:hAnsi="Calibri" w:cs="Times New Roman"/>
          <w:sz w:val="32"/>
          <w:szCs w:val="32"/>
        </w:rPr>
        <w:t>患者为核心的新药研发理念，</w:t>
      </w:r>
      <w:r w:rsidR="001656BF">
        <w:rPr>
          <w:rFonts w:ascii="仿宋" w:eastAsia="仿宋" w:hAnsi="仿宋" w:cs="Times New Roman"/>
          <w:color w:val="000000"/>
          <w:sz w:val="32"/>
          <w:szCs w:val="32"/>
        </w:rPr>
        <w:t>有助于</w:t>
      </w:r>
      <w:r w:rsidR="001656BF">
        <w:rPr>
          <w:rFonts w:ascii="仿宋_GB2312" w:eastAsia="仿宋_GB2312" w:hAnsi="Calibri" w:cs="Times New Roman"/>
          <w:sz w:val="32"/>
          <w:szCs w:val="32"/>
        </w:rPr>
        <w:t>CLL</w:t>
      </w:r>
      <w:r w:rsidR="001656BF">
        <w:rPr>
          <w:rFonts w:ascii="仿宋_GB2312" w:eastAsia="仿宋_GB2312" w:hint="eastAsia"/>
          <w:sz w:val="32"/>
          <w:szCs w:val="32"/>
        </w:rPr>
        <w:t>适应症</w:t>
      </w:r>
      <w:r w:rsidR="001656BF">
        <w:rPr>
          <w:rFonts w:ascii="仿宋_GB2312" w:eastAsia="仿宋_GB2312"/>
          <w:sz w:val="32"/>
          <w:szCs w:val="32"/>
        </w:rPr>
        <w:t>的</w:t>
      </w:r>
      <w:r w:rsidR="001656BF">
        <w:rPr>
          <w:rFonts w:ascii="仿宋_GB2312" w:eastAsia="仿宋_GB2312" w:hAnsi="Calibri" w:cs="Times New Roman" w:hint="eastAsia"/>
          <w:sz w:val="32"/>
          <w:szCs w:val="32"/>
        </w:rPr>
        <w:t>新药</w:t>
      </w:r>
      <w:r w:rsidR="001656BF">
        <w:rPr>
          <w:rFonts w:ascii="仿宋_GB2312" w:eastAsia="仿宋_GB2312" w:hAnsi="Calibri" w:cs="Times New Roman"/>
          <w:sz w:val="32"/>
          <w:szCs w:val="32"/>
        </w:rPr>
        <w:t>研发人员更准确地把握疾病特征</w:t>
      </w:r>
      <w:r w:rsidR="001656BF">
        <w:rPr>
          <w:rFonts w:ascii="仿宋_GB2312" w:eastAsia="仿宋_GB2312" w:hAnsi="Calibri" w:cs="Times New Roman" w:hint="eastAsia"/>
          <w:sz w:val="32"/>
          <w:szCs w:val="32"/>
        </w:rPr>
        <w:t>，在</w:t>
      </w:r>
      <w:r w:rsidR="001656BF">
        <w:rPr>
          <w:rFonts w:ascii="仿宋_GB2312" w:eastAsia="仿宋_GB2312" w:hAnsi="Calibri" w:cs="Times New Roman"/>
          <w:sz w:val="32"/>
          <w:szCs w:val="32"/>
        </w:rPr>
        <w:t>临床试验</w:t>
      </w:r>
      <w:r w:rsidR="001656BF">
        <w:rPr>
          <w:rFonts w:ascii="仿宋_GB2312" w:eastAsia="仿宋_GB2312" w:hAnsi="Calibri" w:cs="Times New Roman" w:hint="eastAsia"/>
          <w:sz w:val="32"/>
          <w:szCs w:val="32"/>
        </w:rPr>
        <w:t>设计</w:t>
      </w:r>
      <w:r w:rsidR="001656BF">
        <w:rPr>
          <w:rFonts w:ascii="仿宋_GB2312" w:eastAsia="仿宋_GB2312" w:hAnsi="Calibri" w:cs="Times New Roman"/>
          <w:sz w:val="32"/>
          <w:szCs w:val="32"/>
        </w:rPr>
        <w:t>和执行过程中更</w:t>
      </w:r>
      <w:r w:rsidR="001656BF">
        <w:rPr>
          <w:rFonts w:ascii="仿宋_GB2312" w:eastAsia="仿宋_GB2312" w:hAnsi="Calibri" w:cs="Times New Roman" w:hint="eastAsia"/>
          <w:sz w:val="32"/>
          <w:szCs w:val="32"/>
        </w:rPr>
        <w:t>深入</w:t>
      </w:r>
      <w:r w:rsidR="00AA72F3">
        <w:rPr>
          <w:rFonts w:ascii="仿宋_GB2312" w:eastAsia="仿宋_GB2312" w:hAnsi="Calibri" w:cs="Times New Roman"/>
          <w:sz w:val="32"/>
          <w:szCs w:val="32"/>
        </w:rPr>
        <w:t>地关注和了解患者的需求</w:t>
      </w:r>
      <w:r w:rsidRPr="00262FF6">
        <w:rPr>
          <w:rFonts w:ascii="仿宋" w:eastAsia="仿宋" w:hAnsi="仿宋" w:cs="Times New Roman"/>
          <w:color w:val="000000"/>
          <w:sz w:val="32"/>
          <w:szCs w:val="32"/>
        </w:rPr>
        <w:t>。</w:t>
      </w:r>
    </w:p>
    <w:p w14:paraId="4E37B36B" w14:textId="77777777" w:rsidR="00075F16" w:rsidRPr="00075F16" w:rsidRDefault="00075F16" w:rsidP="00075F16">
      <w:pPr>
        <w:numPr>
          <w:ilvl w:val="0"/>
          <w:numId w:val="1"/>
        </w:numPr>
        <w:ind w:firstLineChars="200" w:firstLine="643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075F1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起草过程</w:t>
      </w:r>
    </w:p>
    <w:p w14:paraId="49EAF77F" w14:textId="033D663D" w:rsidR="00075F16" w:rsidRPr="00075F16" w:rsidRDefault="00F72A17" w:rsidP="00075F1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72A17">
        <w:rPr>
          <w:rFonts w:ascii="仿宋" w:eastAsia="仿宋" w:hAnsi="仿宋" w:cs="Times New Roman" w:hint="eastAsia"/>
          <w:color w:val="000000"/>
          <w:sz w:val="32"/>
          <w:szCs w:val="32"/>
        </w:rPr>
        <w:t>本技术指导原则</w:t>
      </w:r>
      <w:proofErr w:type="gramStart"/>
      <w:r w:rsidRPr="00F72A17">
        <w:rPr>
          <w:rFonts w:ascii="仿宋" w:eastAsia="仿宋" w:hAnsi="仿宋" w:cs="Times New Roman" w:hint="eastAsia"/>
          <w:color w:val="000000"/>
          <w:sz w:val="32"/>
          <w:szCs w:val="32"/>
        </w:rPr>
        <w:t>由化药</w:t>
      </w:r>
      <w:proofErr w:type="gramEnd"/>
      <w:r w:rsidRPr="00F72A17">
        <w:rPr>
          <w:rFonts w:ascii="仿宋" w:eastAsia="仿宋" w:hAnsi="仿宋" w:cs="Times New Roman" w:hint="eastAsia"/>
          <w:color w:val="000000"/>
          <w:sz w:val="32"/>
          <w:szCs w:val="32"/>
        </w:rPr>
        <w:t>临床一部负责撰写。本项工作自</w:t>
      </w:r>
      <w:r w:rsidRPr="00F72A17">
        <w:rPr>
          <w:rFonts w:ascii="仿宋" w:eastAsia="仿宋" w:hAnsi="仿宋" w:cs="Times New Roman"/>
          <w:color w:val="000000"/>
          <w:sz w:val="32"/>
          <w:szCs w:val="32"/>
        </w:rPr>
        <w:t>202</w:t>
      </w:r>
      <w:r w:rsidR="00742B29">
        <w:rPr>
          <w:rFonts w:ascii="仿宋" w:eastAsia="仿宋" w:hAnsi="仿宋" w:cs="Times New Roman"/>
          <w:color w:val="000000"/>
          <w:sz w:val="32"/>
          <w:szCs w:val="32"/>
        </w:rPr>
        <w:t>2</w:t>
      </w:r>
      <w:r w:rsidRPr="00F72A17">
        <w:rPr>
          <w:rFonts w:ascii="仿宋" w:eastAsia="仿宋" w:hAnsi="仿宋" w:cs="Times New Roman"/>
          <w:color w:val="000000"/>
          <w:sz w:val="32"/>
          <w:szCs w:val="32"/>
        </w:rPr>
        <w:t>年</w:t>
      </w:r>
      <w:r w:rsidR="00742B29">
        <w:rPr>
          <w:rFonts w:ascii="仿宋" w:eastAsia="仿宋" w:hAnsi="仿宋" w:cs="Times New Roman"/>
          <w:color w:val="000000"/>
          <w:sz w:val="32"/>
          <w:szCs w:val="32"/>
        </w:rPr>
        <w:t>2</w:t>
      </w:r>
      <w:r w:rsidRPr="00F72A17">
        <w:rPr>
          <w:rFonts w:ascii="仿宋" w:eastAsia="仿宋" w:hAnsi="仿宋" w:cs="Times New Roman"/>
          <w:color w:val="000000"/>
          <w:sz w:val="32"/>
          <w:szCs w:val="32"/>
        </w:rPr>
        <w:t>月启动，202</w:t>
      </w:r>
      <w:r w:rsidR="00742B29">
        <w:rPr>
          <w:rFonts w:ascii="仿宋" w:eastAsia="仿宋" w:hAnsi="仿宋" w:cs="Times New Roman"/>
          <w:color w:val="000000"/>
          <w:sz w:val="32"/>
          <w:szCs w:val="32"/>
        </w:rPr>
        <w:t>2</w:t>
      </w:r>
      <w:r w:rsidRPr="00F72A17">
        <w:rPr>
          <w:rFonts w:ascii="仿宋" w:eastAsia="仿宋" w:hAnsi="仿宋" w:cs="Times New Roman"/>
          <w:color w:val="000000"/>
          <w:sz w:val="32"/>
          <w:szCs w:val="32"/>
        </w:rPr>
        <w:t>年</w:t>
      </w:r>
      <w:r w:rsidR="00742B29">
        <w:rPr>
          <w:rFonts w:ascii="仿宋" w:eastAsia="仿宋" w:hAnsi="仿宋" w:cs="Times New Roman"/>
          <w:color w:val="000000"/>
          <w:sz w:val="32"/>
          <w:szCs w:val="32"/>
        </w:rPr>
        <w:t>4</w:t>
      </w:r>
      <w:r w:rsidRPr="00F72A17">
        <w:rPr>
          <w:rFonts w:ascii="仿宋" w:eastAsia="仿宋" w:hAnsi="仿宋" w:cs="Times New Roman"/>
          <w:color w:val="000000"/>
          <w:sz w:val="32"/>
          <w:szCs w:val="32"/>
        </w:rPr>
        <w:t>月形成初稿，经</w:t>
      </w:r>
      <w:proofErr w:type="gramStart"/>
      <w:r w:rsidRPr="00F72A17">
        <w:rPr>
          <w:rFonts w:ascii="仿宋" w:eastAsia="仿宋" w:hAnsi="仿宋" w:cs="Times New Roman"/>
          <w:color w:val="000000"/>
          <w:sz w:val="32"/>
          <w:szCs w:val="32"/>
        </w:rPr>
        <w:t>药审中心</w:t>
      </w:r>
      <w:proofErr w:type="gramEnd"/>
      <w:r w:rsidRPr="00F72A17">
        <w:rPr>
          <w:rFonts w:ascii="仿宋" w:eastAsia="仿宋" w:hAnsi="仿宋" w:cs="Times New Roman"/>
          <w:color w:val="000000"/>
          <w:sz w:val="32"/>
          <w:szCs w:val="32"/>
        </w:rPr>
        <w:t>内部各相关专业征求意见、技术委员会审核，并征求部分专家意见后，形成征求意见稿。</w:t>
      </w:r>
    </w:p>
    <w:p w14:paraId="5625A4FE" w14:textId="77777777" w:rsidR="00075F16" w:rsidRPr="00075F16" w:rsidRDefault="00075F16" w:rsidP="00075F16">
      <w:pPr>
        <w:ind w:firstLineChars="196" w:firstLine="630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075F1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三、主要内容与说明</w:t>
      </w:r>
    </w:p>
    <w:p w14:paraId="7D3786A7" w14:textId="36F46A67" w:rsidR="001A3392" w:rsidRPr="00692EC7" w:rsidRDefault="00F72A17" w:rsidP="001A3392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72A17">
        <w:rPr>
          <w:rFonts w:ascii="仿宋" w:eastAsia="仿宋" w:hAnsi="仿宋" w:cs="Times New Roman" w:hint="eastAsia"/>
          <w:color w:val="000000"/>
          <w:sz w:val="32"/>
          <w:szCs w:val="32"/>
        </w:rPr>
        <w:t>本技术指导原则将从</w:t>
      </w:r>
      <w:r w:rsidR="000F33C4">
        <w:rPr>
          <w:rFonts w:ascii="仿宋" w:eastAsia="仿宋" w:hAnsi="仿宋" w:cs="Times New Roman" w:hint="eastAsia"/>
          <w:color w:val="000000"/>
          <w:sz w:val="32"/>
          <w:szCs w:val="32"/>
        </w:rPr>
        <w:t>CLL疾病特征出发</w:t>
      </w:r>
      <w:r w:rsidR="000F33C4">
        <w:rPr>
          <w:rFonts w:ascii="仿宋" w:eastAsia="仿宋" w:hAnsi="仿宋" w:cs="Times New Roman"/>
          <w:color w:val="000000"/>
          <w:sz w:val="32"/>
          <w:szCs w:val="32"/>
        </w:rPr>
        <w:t>，</w:t>
      </w:r>
      <w:r w:rsidR="000F33C4">
        <w:rPr>
          <w:rFonts w:ascii="仿宋" w:eastAsia="仿宋" w:hAnsi="仿宋" w:cs="Times New Roman" w:hint="eastAsia"/>
          <w:color w:val="000000"/>
          <w:sz w:val="32"/>
          <w:szCs w:val="32"/>
        </w:rPr>
        <w:t>从</w:t>
      </w:r>
      <w:r w:rsidR="000F33C4">
        <w:rPr>
          <w:rFonts w:ascii="仿宋" w:eastAsia="仿宋" w:hAnsi="仿宋" w:cs="Times New Roman"/>
          <w:color w:val="000000"/>
          <w:sz w:val="32"/>
          <w:szCs w:val="32"/>
        </w:rPr>
        <w:t>人群定义、剂量探索、</w:t>
      </w:r>
      <w:r w:rsidR="000F33C4">
        <w:rPr>
          <w:rFonts w:ascii="仿宋" w:eastAsia="仿宋" w:hAnsi="仿宋" w:cs="Times New Roman" w:hint="eastAsia"/>
          <w:color w:val="000000"/>
          <w:sz w:val="32"/>
          <w:szCs w:val="32"/>
        </w:rPr>
        <w:t>有效性</w:t>
      </w:r>
      <w:r w:rsidR="000F33C4">
        <w:rPr>
          <w:rFonts w:ascii="仿宋" w:eastAsia="仿宋" w:hAnsi="仿宋" w:cs="Times New Roman"/>
          <w:color w:val="000000"/>
          <w:sz w:val="32"/>
          <w:szCs w:val="32"/>
        </w:rPr>
        <w:t>终点</w:t>
      </w:r>
      <w:r w:rsidR="000F33C4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0F33C4">
        <w:rPr>
          <w:rFonts w:ascii="仿宋" w:eastAsia="仿宋" w:hAnsi="仿宋" w:cs="Times New Roman"/>
          <w:color w:val="000000"/>
          <w:sz w:val="32"/>
          <w:szCs w:val="32"/>
        </w:rPr>
        <w:t>关键性注册研究设计</w:t>
      </w:r>
      <w:r w:rsidR="000F33C4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0F33C4">
        <w:rPr>
          <w:rFonts w:ascii="仿宋" w:eastAsia="仿宋" w:hAnsi="仿宋" w:cs="Times New Roman"/>
          <w:color w:val="000000"/>
          <w:sz w:val="32"/>
          <w:szCs w:val="32"/>
        </w:rPr>
        <w:t>安全性评价</w:t>
      </w:r>
      <w:r w:rsidR="000F33C4">
        <w:rPr>
          <w:rFonts w:ascii="仿宋" w:eastAsia="仿宋" w:hAnsi="仿宋" w:cs="Times New Roman" w:hint="eastAsia"/>
          <w:color w:val="000000"/>
          <w:sz w:val="32"/>
          <w:szCs w:val="32"/>
        </w:rPr>
        <w:t>和</w:t>
      </w:r>
      <w:r w:rsidR="000F33C4">
        <w:rPr>
          <w:rFonts w:ascii="仿宋" w:eastAsia="仿宋" w:hAnsi="仿宋" w:cs="Times New Roman"/>
          <w:color w:val="000000"/>
          <w:sz w:val="32"/>
          <w:szCs w:val="32"/>
        </w:rPr>
        <w:t>上市后要求</w:t>
      </w:r>
      <w:r w:rsidR="000F33C4">
        <w:rPr>
          <w:rFonts w:ascii="仿宋" w:eastAsia="仿宋" w:hAnsi="仿宋" w:cs="Times New Roman" w:hint="eastAsia"/>
          <w:color w:val="000000"/>
          <w:sz w:val="32"/>
          <w:szCs w:val="32"/>
        </w:rPr>
        <w:t>等</w:t>
      </w:r>
      <w:r w:rsidR="000F33C4">
        <w:rPr>
          <w:rFonts w:ascii="仿宋" w:eastAsia="仿宋" w:hAnsi="仿宋" w:cs="Times New Roman"/>
          <w:color w:val="000000"/>
          <w:sz w:val="32"/>
          <w:szCs w:val="32"/>
        </w:rPr>
        <w:t>方面探讨</w:t>
      </w:r>
      <w:r w:rsidR="000F33C4">
        <w:rPr>
          <w:rFonts w:ascii="仿宋" w:eastAsia="仿宋" w:hAnsi="仿宋" w:cs="Times New Roman" w:hint="eastAsia"/>
          <w:color w:val="000000"/>
          <w:sz w:val="32"/>
          <w:szCs w:val="32"/>
        </w:rPr>
        <w:t>CLL新药</w:t>
      </w:r>
      <w:r w:rsidR="000F33C4">
        <w:rPr>
          <w:rFonts w:ascii="仿宋" w:eastAsia="仿宋" w:hAnsi="仿宋" w:cs="Times New Roman"/>
          <w:color w:val="000000"/>
          <w:sz w:val="32"/>
          <w:szCs w:val="32"/>
        </w:rPr>
        <w:t>研发</w:t>
      </w:r>
      <w:r w:rsidR="000F33C4">
        <w:rPr>
          <w:rFonts w:ascii="仿宋" w:eastAsia="仿宋" w:hAnsi="仿宋" w:cs="Times New Roman" w:hint="eastAsia"/>
          <w:color w:val="000000"/>
          <w:sz w:val="32"/>
          <w:szCs w:val="32"/>
        </w:rPr>
        <w:t>的</w:t>
      </w:r>
      <w:r w:rsidR="000F33C4">
        <w:rPr>
          <w:rFonts w:ascii="仿宋" w:eastAsia="仿宋" w:hAnsi="仿宋" w:cs="Times New Roman"/>
          <w:color w:val="000000"/>
          <w:sz w:val="32"/>
          <w:szCs w:val="32"/>
        </w:rPr>
        <w:t>关注点和技术要点</w:t>
      </w:r>
      <w:r w:rsidR="005B3A01">
        <w:rPr>
          <w:rFonts w:ascii="仿宋" w:eastAsia="仿宋" w:hAnsi="仿宋" w:cs="Times New Roman"/>
          <w:color w:val="000000"/>
          <w:sz w:val="32"/>
          <w:szCs w:val="32"/>
        </w:rPr>
        <w:t>，为</w:t>
      </w:r>
      <w:r w:rsidR="005B3A01">
        <w:rPr>
          <w:rFonts w:ascii="仿宋" w:eastAsia="仿宋" w:hAnsi="仿宋" w:cs="Times New Roman" w:hint="eastAsia"/>
          <w:color w:val="000000"/>
          <w:sz w:val="32"/>
          <w:szCs w:val="32"/>
        </w:rPr>
        <w:t>致力于</w:t>
      </w:r>
      <w:r w:rsidR="000F33C4">
        <w:rPr>
          <w:rFonts w:ascii="仿宋" w:eastAsia="仿宋" w:hAnsi="仿宋" w:cs="Times New Roman"/>
          <w:color w:val="000000"/>
          <w:sz w:val="32"/>
          <w:szCs w:val="32"/>
        </w:rPr>
        <w:t>CLL</w:t>
      </w:r>
      <w:r w:rsidRPr="00F72A17">
        <w:rPr>
          <w:rFonts w:ascii="仿宋" w:eastAsia="仿宋" w:hAnsi="仿宋" w:cs="Times New Roman"/>
          <w:color w:val="000000"/>
          <w:sz w:val="32"/>
          <w:szCs w:val="32"/>
        </w:rPr>
        <w:t>新药研发</w:t>
      </w:r>
      <w:r w:rsidR="005B3A01">
        <w:rPr>
          <w:rFonts w:ascii="仿宋" w:eastAsia="仿宋" w:hAnsi="仿宋" w:cs="Times New Roman" w:hint="eastAsia"/>
          <w:color w:val="000000"/>
          <w:sz w:val="32"/>
          <w:szCs w:val="32"/>
        </w:rPr>
        <w:t>的</w:t>
      </w:r>
      <w:r w:rsidRPr="00F72A17">
        <w:rPr>
          <w:rFonts w:ascii="仿宋" w:eastAsia="仿宋" w:hAnsi="仿宋" w:cs="Times New Roman"/>
          <w:color w:val="000000"/>
          <w:sz w:val="32"/>
          <w:szCs w:val="32"/>
        </w:rPr>
        <w:t>医药研发企业和研究者提供参考意见。</w:t>
      </w:r>
    </w:p>
    <w:p w14:paraId="5635A176" w14:textId="77777777" w:rsidR="00D34634" w:rsidRPr="0032181B" w:rsidRDefault="00D34634" w:rsidP="001A3392">
      <w:pPr>
        <w:ind w:firstLineChars="200" w:firstLine="420"/>
      </w:pPr>
    </w:p>
    <w:sectPr w:rsidR="00D34634" w:rsidRPr="0032181B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0F036" w14:textId="77777777" w:rsidR="004F3070" w:rsidRDefault="004F3070" w:rsidP="00075F16">
      <w:r>
        <w:separator/>
      </w:r>
    </w:p>
  </w:endnote>
  <w:endnote w:type="continuationSeparator" w:id="0">
    <w:p w14:paraId="62188ADA" w14:textId="77777777" w:rsidR="004F3070" w:rsidRDefault="004F3070" w:rsidP="0007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5841D" w14:textId="77777777" w:rsidR="00075F16" w:rsidRDefault="00075F16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517A0242" w14:textId="77777777" w:rsidR="00075F16" w:rsidRDefault="00075F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40042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5E1E2EF3" w14:textId="1DAD5769" w:rsidR="00075F16" w:rsidRPr="00CD13E0" w:rsidRDefault="00075F16">
        <w:pPr>
          <w:pStyle w:val="a5"/>
          <w:jc w:val="center"/>
          <w:rPr>
            <w:sz w:val="28"/>
            <w:szCs w:val="28"/>
          </w:rPr>
        </w:pPr>
        <w:r w:rsidRPr="00CD13E0">
          <w:rPr>
            <w:sz w:val="28"/>
            <w:szCs w:val="28"/>
          </w:rPr>
          <w:fldChar w:fldCharType="begin"/>
        </w:r>
        <w:r w:rsidRPr="00CD13E0">
          <w:rPr>
            <w:sz w:val="28"/>
            <w:szCs w:val="28"/>
          </w:rPr>
          <w:instrText>PAGE   \* MERGEFORMAT</w:instrText>
        </w:r>
        <w:r w:rsidRPr="00CD13E0">
          <w:rPr>
            <w:sz w:val="28"/>
            <w:szCs w:val="28"/>
          </w:rPr>
          <w:fldChar w:fldCharType="separate"/>
        </w:r>
        <w:r w:rsidR="008349D1" w:rsidRPr="008349D1">
          <w:rPr>
            <w:noProof/>
            <w:sz w:val="28"/>
            <w:szCs w:val="28"/>
            <w:lang w:val="zh-CN"/>
          </w:rPr>
          <w:t>2</w:t>
        </w:r>
        <w:r w:rsidRPr="00CD13E0">
          <w:rPr>
            <w:sz w:val="28"/>
            <w:szCs w:val="28"/>
          </w:rPr>
          <w:fldChar w:fldCharType="end"/>
        </w:r>
      </w:p>
    </w:sdtContent>
  </w:sdt>
  <w:p w14:paraId="46FBF9BE" w14:textId="77777777" w:rsidR="00075F16" w:rsidRDefault="00075F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45ECF" w14:textId="77777777" w:rsidR="004F3070" w:rsidRDefault="004F3070" w:rsidP="00075F16">
      <w:r>
        <w:separator/>
      </w:r>
    </w:p>
  </w:footnote>
  <w:footnote w:type="continuationSeparator" w:id="0">
    <w:p w14:paraId="52E65C69" w14:textId="77777777" w:rsidR="004F3070" w:rsidRDefault="004F3070" w:rsidP="0007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A3"/>
    <w:rsid w:val="000034AB"/>
    <w:rsid w:val="00021D4F"/>
    <w:rsid w:val="00030CE0"/>
    <w:rsid w:val="0004086C"/>
    <w:rsid w:val="0004539E"/>
    <w:rsid w:val="00051927"/>
    <w:rsid w:val="0005282A"/>
    <w:rsid w:val="00056F96"/>
    <w:rsid w:val="00063684"/>
    <w:rsid w:val="00075F16"/>
    <w:rsid w:val="000A3D1E"/>
    <w:rsid w:val="000A41FD"/>
    <w:rsid w:val="000C17FD"/>
    <w:rsid w:val="000C42A8"/>
    <w:rsid w:val="000D5644"/>
    <w:rsid w:val="000F1A78"/>
    <w:rsid w:val="000F22A4"/>
    <w:rsid w:val="000F33C4"/>
    <w:rsid w:val="00105592"/>
    <w:rsid w:val="00116607"/>
    <w:rsid w:val="001179D9"/>
    <w:rsid w:val="00132177"/>
    <w:rsid w:val="00136B79"/>
    <w:rsid w:val="00141B5E"/>
    <w:rsid w:val="00145CDD"/>
    <w:rsid w:val="00162337"/>
    <w:rsid w:val="001641FE"/>
    <w:rsid w:val="00164A89"/>
    <w:rsid w:val="001656BF"/>
    <w:rsid w:val="00170779"/>
    <w:rsid w:val="00181C2E"/>
    <w:rsid w:val="001A3392"/>
    <w:rsid w:val="001A5024"/>
    <w:rsid w:val="001A57A9"/>
    <w:rsid w:val="001C668C"/>
    <w:rsid w:val="001E0C2E"/>
    <w:rsid w:val="001E11E7"/>
    <w:rsid w:val="001E38C6"/>
    <w:rsid w:val="001F2CCF"/>
    <w:rsid w:val="001F4940"/>
    <w:rsid w:val="001F5866"/>
    <w:rsid w:val="00203638"/>
    <w:rsid w:val="00242662"/>
    <w:rsid w:val="0025060E"/>
    <w:rsid w:val="00252786"/>
    <w:rsid w:val="00254E63"/>
    <w:rsid w:val="00262D7F"/>
    <w:rsid w:val="00262FF6"/>
    <w:rsid w:val="00272EEF"/>
    <w:rsid w:val="00280AE3"/>
    <w:rsid w:val="002837C8"/>
    <w:rsid w:val="002902BA"/>
    <w:rsid w:val="002A5EE7"/>
    <w:rsid w:val="002D008B"/>
    <w:rsid w:val="002D4CA9"/>
    <w:rsid w:val="002E02FB"/>
    <w:rsid w:val="002F2FB8"/>
    <w:rsid w:val="002F30E5"/>
    <w:rsid w:val="002F7D8B"/>
    <w:rsid w:val="00300806"/>
    <w:rsid w:val="00306CE9"/>
    <w:rsid w:val="00314F69"/>
    <w:rsid w:val="0032181B"/>
    <w:rsid w:val="00321F79"/>
    <w:rsid w:val="0032336D"/>
    <w:rsid w:val="0032492F"/>
    <w:rsid w:val="003264EC"/>
    <w:rsid w:val="00327EA3"/>
    <w:rsid w:val="003345F9"/>
    <w:rsid w:val="00335E3F"/>
    <w:rsid w:val="00336F79"/>
    <w:rsid w:val="0036377E"/>
    <w:rsid w:val="003656D2"/>
    <w:rsid w:val="003664C3"/>
    <w:rsid w:val="00381E4F"/>
    <w:rsid w:val="00390836"/>
    <w:rsid w:val="003A004A"/>
    <w:rsid w:val="003A3F76"/>
    <w:rsid w:val="003A5176"/>
    <w:rsid w:val="003C19EF"/>
    <w:rsid w:val="003E0795"/>
    <w:rsid w:val="003E402E"/>
    <w:rsid w:val="003F16DC"/>
    <w:rsid w:val="00403F19"/>
    <w:rsid w:val="00404D62"/>
    <w:rsid w:val="0042300D"/>
    <w:rsid w:val="00450E02"/>
    <w:rsid w:val="00454B56"/>
    <w:rsid w:val="00464311"/>
    <w:rsid w:val="00472C54"/>
    <w:rsid w:val="00480D08"/>
    <w:rsid w:val="00481DD2"/>
    <w:rsid w:val="00485B27"/>
    <w:rsid w:val="00491560"/>
    <w:rsid w:val="00492C9C"/>
    <w:rsid w:val="004953A4"/>
    <w:rsid w:val="004A3F47"/>
    <w:rsid w:val="004A448E"/>
    <w:rsid w:val="004A7692"/>
    <w:rsid w:val="004C04DF"/>
    <w:rsid w:val="004C0C38"/>
    <w:rsid w:val="004C1E04"/>
    <w:rsid w:val="004D10B6"/>
    <w:rsid w:val="004D4C7C"/>
    <w:rsid w:val="004D539D"/>
    <w:rsid w:val="004D70A5"/>
    <w:rsid w:val="004F3070"/>
    <w:rsid w:val="00521602"/>
    <w:rsid w:val="0052309E"/>
    <w:rsid w:val="00532FEE"/>
    <w:rsid w:val="005407A3"/>
    <w:rsid w:val="00541369"/>
    <w:rsid w:val="00546F70"/>
    <w:rsid w:val="005623B3"/>
    <w:rsid w:val="0057462B"/>
    <w:rsid w:val="00593563"/>
    <w:rsid w:val="00594B31"/>
    <w:rsid w:val="005A0798"/>
    <w:rsid w:val="005A2C81"/>
    <w:rsid w:val="005A4638"/>
    <w:rsid w:val="005B3A01"/>
    <w:rsid w:val="005C2A8F"/>
    <w:rsid w:val="005D3E4F"/>
    <w:rsid w:val="005D50DF"/>
    <w:rsid w:val="005D6A6E"/>
    <w:rsid w:val="005E41E6"/>
    <w:rsid w:val="005E43BF"/>
    <w:rsid w:val="005F100D"/>
    <w:rsid w:val="006001D5"/>
    <w:rsid w:val="0060635D"/>
    <w:rsid w:val="00606BBA"/>
    <w:rsid w:val="00611D50"/>
    <w:rsid w:val="00612E80"/>
    <w:rsid w:val="00614004"/>
    <w:rsid w:val="006149B7"/>
    <w:rsid w:val="00615321"/>
    <w:rsid w:val="00627DB7"/>
    <w:rsid w:val="00653600"/>
    <w:rsid w:val="00673AF5"/>
    <w:rsid w:val="00676705"/>
    <w:rsid w:val="00681407"/>
    <w:rsid w:val="00684140"/>
    <w:rsid w:val="006869B2"/>
    <w:rsid w:val="00692EC7"/>
    <w:rsid w:val="00693BA3"/>
    <w:rsid w:val="006952C5"/>
    <w:rsid w:val="00697D47"/>
    <w:rsid w:val="006A247D"/>
    <w:rsid w:val="006A5370"/>
    <w:rsid w:val="006B1641"/>
    <w:rsid w:val="006B1B9B"/>
    <w:rsid w:val="006B40C1"/>
    <w:rsid w:val="006C1B45"/>
    <w:rsid w:val="006C3FDA"/>
    <w:rsid w:val="006C533E"/>
    <w:rsid w:val="006C54D5"/>
    <w:rsid w:val="006C5E65"/>
    <w:rsid w:val="006C6408"/>
    <w:rsid w:val="006D5220"/>
    <w:rsid w:val="006E2EF0"/>
    <w:rsid w:val="006E462C"/>
    <w:rsid w:val="006E4DC3"/>
    <w:rsid w:val="006F505C"/>
    <w:rsid w:val="00704E87"/>
    <w:rsid w:val="007075ED"/>
    <w:rsid w:val="00707D4F"/>
    <w:rsid w:val="00721303"/>
    <w:rsid w:val="00734E5F"/>
    <w:rsid w:val="00741629"/>
    <w:rsid w:val="00742B29"/>
    <w:rsid w:val="00744049"/>
    <w:rsid w:val="00745ED6"/>
    <w:rsid w:val="00745F67"/>
    <w:rsid w:val="00754EA0"/>
    <w:rsid w:val="007602FD"/>
    <w:rsid w:val="00762C7C"/>
    <w:rsid w:val="007724D6"/>
    <w:rsid w:val="007836AA"/>
    <w:rsid w:val="00783B3C"/>
    <w:rsid w:val="007841AD"/>
    <w:rsid w:val="007877A3"/>
    <w:rsid w:val="00791AB4"/>
    <w:rsid w:val="00797400"/>
    <w:rsid w:val="007C1569"/>
    <w:rsid w:val="007D6CF3"/>
    <w:rsid w:val="007E0A40"/>
    <w:rsid w:val="007E2BDD"/>
    <w:rsid w:val="007E6ADB"/>
    <w:rsid w:val="007F11FF"/>
    <w:rsid w:val="007F1CDB"/>
    <w:rsid w:val="007F7576"/>
    <w:rsid w:val="008023C5"/>
    <w:rsid w:val="00816011"/>
    <w:rsid w:val="00830284"/>
    <w:rsid w:val="008307AF"/>
    <w:rsid w:val="008349D1"/>
    <w:rsid w:val="00836001"/>
    <w:rsid w:val="008411BD"/>
    <w:rsid w:val="00845228"/>
    <w:rsid w:val="00846E31"/>
    <w:rsid w:val="00850865"/>
    <w:rsid w:val="00856CE5"/>
    <w:rsid w:val="00863FCE"/>
    <w:rsid w:val="00864BD0"/>
    <w:rsid w:val="00875958"/>
    <w:rsid w:val="00883CFF"/>
    <w:rsid w:val="0089483C"/>
    <w:rsid w:val="008A509E"/>
    <w:rsid w:val="008B1C03"/>
    <w:rsid w:val="008C60E8"/>
    <w:rsid w:val="008D2777"/>
    <w:rsid w:val="008D5151"/>
    <w:rsid w:val="008D76E4"/>
    <w:rsid w:val="008E12FE"/>
    <w:rsid w:val="008E1F9E"/>
    <w:rsid w:val="00900083"/>
    <w:rsid w:val="00920AC1"/>
    <w:rsid w:val="009218D9"/>
    <w:rsid w:val="00933078"/>
    <w:rsid w:val="00942942"/>
    <w:rsid w:val="0094591F"/>
    <w:rsid w:val="00947E8E"/>
    <w:rsid w:val="00952BFC"/>
    <w:rsid w:val="00970D9E"/>
    <w:rsid w:val="009762C8"/>
    <w:rsid w:val="00987B37"/>
    <w:rsid w:val="00993707"/>
    <w:rsid w:val="00993F54"/>
    <w:rsid w:val="009971AF"/>
    <w:rsid w:val="009A6713"/>
    <w:rsid w:val="009B19BE"/>
    <w:rsid w:val="009B3F7B"/>
    <w:rsid w:val="009D1816"/>
    <w:rsid w:val="009D72CB"/>
    <w:rsid w:val="009E0239"/>
    <w:rsid w:val="009E2A7A"/>
    <w:rsid w:val="009E663E"/>
    <w:rsid w:val="009E6F8C"/>
    <w:rsid w:val="009F7776"/>
    <w:rsid w:val="00A10F3B"/>
    <w:rsid w:val="00A32EEA"/>
    <w:rsid w:val="00A43DB8"/>
    <w:rsid w:val="00A5011F"/>
    <w:rsid w:val="00A60ACC"/>
    <w:rsid w:val="00A66423"/>
    <w:rsid w:val="00A777D4"/>
    <w:rsid w:val="00A85D16"/>
    <w:rsid w:val="00A91D9A"/>
    <w:rsid w:val="00A9537B"/>
    <w:rsid w:val="00A956C3"/>
    <w:rsid w:val="00AA63B7"/>
    <w:rsid w:val="00AA72F3"/>
    <w:rsid w:val="00AB2803"/>
    <w:rsid w:val="00AB3810"/>
    <w:rsid w:val="00AC57DF"/>
    <w:rsid w:val="00AC67D6"/>
    <w:rsid w:val="00AC7944"/>
    <w:rsid w:val="00AD19CB"/>
    <w:rsid w:val="00AE5239"/>
    <w:rsid w:val="00AE5DB0"/>
    <w:rsid w:val="00AF00ED"/>
    <w:rsid w:val="00AF25DA"/>
    <w:rsid w:val="00B02C4F"/>
    <w:rsid w:val="00B03039"/>
    <w:rsid w:val="00B14FD4"/>
    <w:rsid w:val="00B340F7"/>
    <w:rsid w:val="00B353ED"/>
    <w:rsid w:val="00B50043"/>
    <w:rsid w:val="00B56EE5"/>
    <w:rsid w:val="00B642F3"/>
    <w:rsid w:val="00B67609"/>
    <w:rsid w:val="00B74498"/>
    <w:rsid w:val="00B869C5"/>
    <w:rsid w:val="00B92073"/>
    <w:rsid w:val="00BA2E26"/>
    <w:rsid w:val="00BA5D4A"/>
    <w:rsid w:val="00BB097F"/>
    <w:rsid w:val="00BB6F10"/>
    <w:rsid w:val="00BD4B08"/>
    <w:rsid w:val="00BE13E7"/>
    <w:rsid w:val="00BE55FC"/>
    <w:rsid w:val="00BF6E87"/>
    <w:rsid w:val="00BF7256"/>
    <w:rsid w:val="00C0749C"/>
    <w:rsid w:val="00C3116A"/>
    <w:rsid w:val="00C32097"/>
    <w:rsid w:val="00C417E0"/>
    <w:rsid w:val="00C41A55"/>
    <w:rsid w:val="00C52A5B"/>
    <w:rsid w:val="00C54BBE"/>
    <w:rsid w:val="00C7477B"/>
    <w:rsid w:val="00C829EB"/>
    <w:rsid w:val="00C8502F"/>
    <w:rsid w:val="00C85D14"/>
    <w:rsid w:val="00C87A72"/>
    <w:rsid w:val="00C87F6E"/>
    <w:rsid w:val="00C9139E"/>
    <w:rsid w:val="00C91773"/>
    <w:rsid w:val="00C93AA1"/>
    <w:rsid w:val="00CB2E64"/>
    <w:rsid w:val="00CB33C3"/>
    <w:rsid w:val="00CB6A6E"/>
    <w:rsid w:val="00CC1055"/>
    <w:rsid w:val="00CD1698"/>
    <w:rsid w:val="00CD1B16"/>
    <w:rsid w:val="00CD3E8D"/>
    <w:rsid w:val="00CD6324"/>
    <w:rsid w:val="00CE1DE3"/>
    <w:rsid w:val="00CE25B1"/>
    <w:rsid w:val="00CE2965"/>
    <w:rsid w:val="00D16500"/>
    <w:rsid w:val="00D25CEB"/>
    <w:rsid w:val="00D34634"/>
    <w:rsid w:val="00D377B5"/>
    <w:rsid w:val="00D40D68"/>
    <w:rsid w:val="00D41C20"/>
    <w:rsid w:val="00D47D7F"/>
    <w:rsid w:val="00D51271"/>
    <w:rsid w:val="00D53EF0"/>
    <w:rsid w:val="00D552BA"/>
    <w:rsid w:val="00D74D7E"/>
    <w:rsid w:val="00D77E3C"/>
    <w:rsid w:val="00D93B8D"/>
    <w:rsid w:val="00D9454E"/>
    <w:rsid w:val="00DA2D18"/>
    <w:rsid w:val="00DB629B"/>
    <w:rsid w:val="00DB7994"/>
    <w:rsid w:val="00DB7D1D"/>
    <w:rsid w:val="00DC66FA"/>
    <w:rsid w:val="00DD06B3"/>
    <w:rsid w:val="00DD3CB9"/>
    <w:rsid w:val="00DE22F5"/>
    <w:rsid w:val="00DF130C"/>
    <w:rsid w:val="00E0223D"/>
    <w:rsid w:val="00E13CCC"/>
    <w:rsid w:val="00E178FB"/>
    <w:rsid w:val="00E23551"/>
    <w:rsid w:val="00E27AE5"/>
    <w:rsid w:val="00E3462D"/>
    <w:rsid w:val="00E37EF6"/>
    <w:rsid w:val="00E53551"/>
    <w:rsid w:val="00E61423"/>
    <w:rsid w:val="00E65269"/>
    <w:rsid w:val="00E70488"/>
    <w:rsid w:val="00E7639E"/>
    <w:rsid w:val="00E8027A"/>
    <w:rsid w:val="00E8144F"/>
    <w:rsid w:val="00E924CD"/>
    <w:rsid w:val="00E92BC6"/>
    <w:rsid w:val="00E931DB"/>
    <w:rsid w:val="00E932DD"/>
    <w:rsid w:val="00E973F6"/>
    <w:rsid w:val="00EA2AE4"/>
    <w:rsid w:val="00EB4813"/>
    <w:rsid w:val="00EC35A7"/>
    <w:rsid w:val="00ED7447"/>
    <w:rsid w:val="00EE10A0"/>
    <w:rsid w:val="00EE390E"/>
    <w:rsid w:val="00EE5FDB"/>
    <w:rsid w:val="00EF2D70"/>
    <w:rsid w:val="00EF525A"/>
    <w:rsid w:val="00F04157"/>
    <w:rsid w:val="00F11BA1"/>
    <w:rsid w:val="00F1673A"/>
    <w:rsid w:val="00F23423"/>
    <w:rsid w:val="00F3186A"/>
    <w:rsid w:val="00F37A02"/>
    <w:rsid w:val="00F50030"/>
    <w:rsid w:val="00F53995"/>
    <w:rsid w:val="00F56268"/>
    <w:rsid w:val="00F64F30"/>
    <w:rsid w:val="00F67797"/>
    <w:rsid w:val="00F67CED"/>
    <w:rsid w:val="00F72A17"/>
    <w:rsid w:val="00F74F50"/>
    <w:rsid w:val="00F849EA"/>
    <w:rsid w:val="00F873AF"/>
    <w:rsid w:val="00FA68A3"/>
    <w:rsid w:val="00FA7367"/>
    <w:rsid w:val="00FB4D5F"/>
    <w:rsid w:val="00FF30DC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95E58"/>
  <w15:chartTrackingRefBased/>
  <w15:docId w15:val="{32762947-D4CB-4FAE-BAF7-563504D1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5F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5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5F16"/>
    <w:rPr>
      <w:sz w:val="18"/>
      <w:szCs w:val="18"/>
    </w:rPr>
  </w:style>
  <w:style w:type="character" w:styleId="a7">
    <w:name w:val="page number"/>
    <w:basedOn w:val="a0"/>
    <w:rsid w:val="00075F16"/>
  </w:style>
  <w:style w:type="paragraph" w:styleId="a8">
    <w:name w:val="Balloon Text"/>
    <w:basedOn w:val="a"/>
    <w:link w:val="a9"/>
    <w:uiPriority w:val="99"/>
    <w:semiHidden/>
    <w:unhideWhenUsed/>
    <w:rsid w:val="007F1CD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F1CDB"/>
    <w:rPr>
      <w:sz w:val="18"/>
      <w:szCs w:val="18"/>
    </w:rPr>
  </w:style>
  <w:style w:type="paragraph" w:styleId="aa">
    <w:name w:val="List Paragraph"/>
    <w:basedOn w:val="a"/>
    <w:uiPriority w:val="34"/>
    <w:qFormat/>
    <w:rsid w:val="003A004A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F64F30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F64F30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F64F30"/>
  </w:style>
  <w:style w:type="paragraph" w:styleId="ae">
    <w:name w:val="annotation subject"/>
    <w:basedOn w:val="ac"/>
    <w:next w:val="ac"/>
    <w:link w:val="af"/>
    <w:uiPriority w:val="99"/>
    <w:semiHidden/>
    <w:unhideWhenUsed/>
    <w:rsid w:val="00F64F30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F64F30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F5866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1F586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CE95E-A35D-4398-A88A-2FC15EA9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宋媛媛</dc:creator>
  <cp:keywords/>
  <dc:description/>
  <cp:lastModifiedBy>信息运维人员03</cp:lastModifiedBy>
  <cp:revision>4</cp:revision>
  <cp:lastPrinted>2020-04-26T02:53:00Z</cp:lastPrinted>
  <dcterms:created xsi:type="dcterms:W3CDTF">2022-06-01T02:21:00Z</dcterms:created>
  <dcterms:modified xsi:type="dcterms:W3CDTF">2022-06-21T01:36:00Z</dcterms:modified>
</cp:coreProperties>
</file>