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9BC35" w14:textId="77777777" w:rsidR="00571212" w:rsidRDefault="0044710C" w:rsidP="00571212">
      <w:pPr>
        <w:spacing w:line="360" w:lineRule="auto"/>
        <w:jc w:val="center"/>
        <w:rPr>
          <w:rFonts w:ascii="方正小标宋简体" w:eastAsia="方正小标宋简体" w:hAnsi="Calibri" w:cs="Times New Roman"/>
          <w:sz w:val="36"/>
          <w:szCs w:val="36"/>
        </w:rPr>
      </w:pPr>
      <w:bookmarkStart w:id="0" w:name="_GoBack"/>
      <w:bookmarkEnd w:id="0"/>
      <w:r w:rsidRPr="00944124">
        <w:rPr>
          <w:rFonts w:ascii="方正小标宋简体" w:eastAsia="方正小标宋简体" w:hAnsi="Calibri" w:cs="Times New Roman" w:hint="eastAsia"/>
          <w:sz w:val="36"/>
          <w:szCs w:val="36"/>
        </w:rPr>
        <w:t>《</w:t>
      </w:r>
      <w:r w:rsidR="00571212">
        <w:rPr>
          <w:rFonts w:ascii="方正小标宋简体" w:eastAsia="方正小标宋简体" w:hAnsi="Calibri" w:cs="Times New Roman" w:hint="eastAsia"/>
          <w:sz w:val="36"/>
          <w:szCs w:val="36"/>
        </w:rPr>
        <w:t>富马酸</w:t>
      </w:r>
      <w:r w:rsidR="00571212">
        <w:rPr>
          <w:rFonts w:ascii="方正小标宋简体" w:eastAsia="方正小标宋简体" w:hAnsi="Calibri" w:cs="Times New Roman"/>
          <w:sz w:val="36"/>
          <w:szCs w:val="36"/>
        </w:rPr>
        <w:t>丙酚替诺福韦</w:t>
      </w:r>
      <w:r w:rsidR="00483A33">
        <w:rPr>
          <w:rFonts w:ascii="方正小标宋简体" w:eastAsia="方正小标宋简体" w:hAnsi="Calibri" w:cs="Times New Roman" w:hint="eastAsia"/>
          <w:sz w:val="36"/>
          <w:szCs w:val="36"/>
        </w:rPr>
        <w:t>片</w:t>
      </w:r>
      <w:r w:rsidR="00944124" w:rsidRPr="00944124">
        <w:rPr>
          <w:rFonts w:ascii="方正小标宋简体" w:eastAsia="方正小标宋简体" w:hAnsi="Calibri" w:cs="Times New Roman" w:hint="eastAsia"/>
          <w:sz w:val="36"/>
          <w:szCs w:val="36"/>
        </w:rPr>
        <w:t>生物等效性研究技术</w:t>
      </w:r>
    </w:p>
    <w:p w14:paraId="01C599E2" w14:textId="5590A4C1" w:rsidR="001136CE" w:rsidRDefault="00944124" w:rsidP="00571212">
      <w:pPr>
        <w:spacing w:line="360" w:lineRule="auto"/>
        <w:jc w:val="center"/>
        <w:rPr>
          <w:rFonts w:ascii="方正小标宋简体" w:eastAsia="方正小标宋简体" w:hAnsi="Calibri" w:cs="Times New Roman"/>
          <w:sz w:val="36"/>
          <w:szCs w:val="36"/>
        </w:rPr>
      </w:pPr>
      <w:r w:rsidRPr="00944124">
        <w:rPr>
          <w:rFonts w:ascii="方正小标宋简体" w:eastAsia="方正小标宋简体" w:hAnsi="Calibri" w:cs="Times New Roman" w:hint="eastAsia"/>
          <w:sz w:val="36"/>
          <w:szCs w:val="36"/>
        </w:rPr>
        <w:t>指导原则</w:t>
      </w:r>
      <w:r w:rsidR="0044710C" w:rsidRPr="00944124">
        <w:rPr>
          <w:rFonts w:ascii="方正小标宋简体" w:eastAsia="方正小标宋简体" w:hAnsi="Calibri" w:cs="Times New Roman" w:hint="eastAsia"/>
          <w:sz w:val="36"/>
          <w:szCs w:val="36"/>
        </w:rPr>
        <w:t>》</w:t>
      </w:r>
      <w:r w:rsidR="00571212" w:rsidRPr="001136CE">
        <w:rPr>
          <w:rFonts w:ascii="方正小标宋简体" w:eastAsia="方正小标宋简体" w:hint="eastAsia"/>
          <w:sz w:val="36"/>
          <w:szCs w:val="36"/>
        </w:rPr>
        <w:t>起草说明</w:t>
      </w:r>
    </w:p>
    <w:p w14:paraId="4E9A30E0" w14:textId="77777777" w:rsidR="001136CE" w:rsidRPr="001136CE" w:rsidRDefault="001136CE" w:rsidP="001136CE">
      <w:pPr>
        <w:spacing w:line="360" w:lineRule="auto"/>
        <w:jc w:val="center"/>
        <w:rPr>
          <w:rFonts w:ascii="方正小标宋简体" w:eastAsia="方正小标宋简体" w:hAnsi="Calibri" w:cs="Times New Roman"/>
          <w:sz w:val="36"/>
          <w:szCs w:val="36"/>
        </w:rPr>
      </w:pPr>
    </w:p>
    <w:p w14:paraId="0894BEE6" w14:textId="195BD56D" w:rsidR="00D6373B" w:rsidRDefault="00D6373B" w:rsidP="009D7813">
      <w:pPr>
        <w:spacing w:line="360" w:lineRule="auto"/>
        <w:ind w:firstLineChars="200" w:firstLine="640"/>
        <w:rPr>
          <w:rFonts w:ascii="Times New Roman" w:hAnsi="Times New Roman" w:cs="Times New Roman"/>
        </w:rPr>
      </w:pPr>
      <w:r w:rsidRPr="00D6373B">
        <w:rPr>
          <w:rFonts w:ascii="Times New Roman" w:hAnsi="Times New Roman" w:cs="Times New Roman" w:hint="eastAsia"/>
        </w:rPr>
        <w:t>为构建以指导原则为核心的审评标准体系，进一步规范富马酸丙酚替诺福韦片生物等效性研究，药品审评中心组织起草了</w:t>
      </w:r>
      <w:r w:rsidRPr="009D7813">
        <w:rPr>
          <w:rFonts w:ascii="Times New Roman" w:hAnsi="Times New Roman" w:cs="Times New Roman"/>
        </w:rPr>
        <w:t>《</w:t>
      </w:r>
      <w:r w:rsidRPr="00571212">
        <w:rPr>
          <w:rFonts w:ascii="Times New Roman" w:hAnsi="Times New Roman" w:cs="Times New Roman" w:hint="eastAsia"/>
        </w:rPr>
        <w:t>富马酸丙酚替诺福韦</w:t>
      </w:r>
      <w:r w:rsidRPr="009D7813">
        <w:rPr>
          <w:rFonts w:ascii="Times New Roman" w:hAnsi="Times New Roman" w:cs="Times New Roman"/>
        </w:rPr>
        <w:t>片生物等效性研究技术指导原则》</w:t>
      </w:r>
      <w:r w:rsidRPr="00D6373B">
        <w:rPr>
          <w:rFonts w:ascii="Times New Roman" w:hAnsi="Times New Roman" w:cs="Times New Roman" w:hint="eastAsia"/>
        </w:rPr>
        <w:t>，经中心内部讨论并征求专家意见，形成征求意见稿。现将有关情况说明如下：</w:t>
      </w:r>
    </w:p>
    <w:p w14:paraId="3B733D3B" w14:textId="77777777" w:rsidR="002076FF" w:rsidRPr="00075DF1" w:rsidRDefault="002076FF" w:rsidP="00075DF1">
      <w:pPr>
        <w:spacing w:line="360" w:lineRule="auto"/>
        <w:ind w:firstLineChars="200" w:firstLine="640"/>
        <w:rPr>
          <w:rFonts w:ascii="黑体" w:eastAsia="黑体" w:hAnsi="黑体"/>
        </w:rPr>
      </w:pPr>
      <w:r w:rsidRPr="00075DF1">
        <w:rPr>
          <w:rFonts w:ascii="黑体" w:eastAsia="黑体" w:hAnsi="黑体"/>
        </w:rPr>
        <w:t>一、背景和目的</w:t>
      </w:r>
    </w:p>
    <w:p w14:paraId="67C63B4E" w14:textId="4AF8208E" w:rsidR="008B107E" w:rsidRDefault="005146B0" w:rsidP="008B107E">
      <w:pPr>
        <w:spacing w:line="360" w:lineRule="auto"/>
        <w:ind w:firstLineChars="200" w:firstLine="640"/>
        <w:rPr>
          <w:rFonts w:ascii="Times New Roman" w:hAnsi="Times New Roman" w:cs="Times New Roman"/>
        </w:rPr>
      </w:pPr>
      <w:r w:rsidRPr="005146B0">
        <w:rPr>
          <w:rFonts w:ascii="Times New Roman" w:hAnsi="Times New Roman" w:cs="Times New Roman" w:hint="eastAsia"/>
        </w:rPr>
        <w:t>富马酸丙酚替诺福韦</w:t>
      </w:r>
      <w:r w:rsidR="00483A33" w:rsidRPr="009D7813">
        <w:rPr>
          <w:rFonts w:ascii="Times New Roman" w:hAnsi="Times New Roman" w:cs="Times New Roman"/>
        </w:rPr>
        <w:t>片（</w:t>
      </w:r>
      <w:r w:rsidRPr="005146B0">
        <w:rPr>
          <w:rFonts w:ascii="Times New Roman" w:hAnsi="Times New Roman" w:cs="Times New Roman"/>
        </w:rPr>
        <w:t>Tenofovir Alafenamide Fumarate Tablets</w:t>
      </w:r>
      <w:r w:rsidR="00483A33" w:rsidRPr="009D7813">
        <w:rPr>
          <w:rFonts w:ascii="Times New Roman" w:hAnsi="Times New Roman" w:cs="Times New Roman"/>
        </w:rPr>
        <w:t xml:space="preserve"> Tablets</w:t>
      </w:r>
      <w:r w:rsidR="00483A33" w:rsidRPr="009D7813">
        <w:rPr>
          <w:rFonts w:ascii="Times New Roman" w:hAnsi="Times New Roman" w:cs="Times New Roman"/>
        </w:rPr>
        <w:t>）主要成</w:t>
      </w:r>
      <w:r w:rsidR="00E73DE7" w:rsidRPr="009D7813">
        <w:rPr>
          <w:rFonts w:ascii="Times New Roman" w:hAnsi="Times New Roman" w:cs="Times New Roman"/>
        </w:rPr>
        <w:t>份</w:t>
      </w:r>
      <w:r w:rsidR="00483A33" w:rsidRPr="009D7813">
        <w:rPr>
          <w:rFonts w:ascii="Times New Roman" w:hAnsi="Times New Roman" w:cs="Times New Roman"/>
        </w:rPr>
        <w:t>为</w:t>
      </w:r>
      <w:r w:rsidRPr="005146B0">
        <w:rPr>
          <w:rFonts w:ascii="Times New Roman" w:hAnsi="Times New Roman" w:cs="Times New Roman" w:hint="eastAsia"/>
        </w:rPr>
        <w:t>富马酸丙酚替诺福韦</w:t>
      </w:r>
      <w:r w:rsidR="00483A33" w:rsidRPr="009D7813">
        <w:rPr>
          <w:rFonts w:ascii="Times New Roman" w:hAnsi="Times New Roman" w:cs="Times New Roman"/>
        </w:rPr>
        <w:t>，</w:t>
      </w:r>
      <w:r w:rsidR="008B107E" w:rsidRPr="008B107E">
        <w:rPr>
          <w:rFonts w:ascii="Times New Roman" w:hAnsi="Times New Roman" w:cs="Times New Roman" w:hint="eastAsia"/>
        </w:rPr>
        <w:t>是替诺福韦的亚磷酰胺前体药物</w:t>
      </w:r>
      <w:r w:rsidR="008B107E">
        <w:rPr>
          <w:rFonts w:ascii="Times New Roman" w:hAnsi="Times New Roman" w:cs="Times New Roman" w:hint="eastAsia"/>
        </w:rPr>
        <w:t>，</w:t>
      </w:r>
      <w:r w:rsidR="008B107E" w:rsidRPr="008B107E">
        <w:rPr>
          <w:rFonts w:ascii="Times New Roman" w:hAnsi="Times New Roman" w:cs="Times New Roman" w:hint="eastAsia"/>
        </w:rPr>
        <w:t>口服给药后</w:t>
      </w:r>
      <w:r w:rsidR="008B107E" w:rsidRPr="008B107E">
        <w:rPr>
          <w:rFonts w:ascii="Times New Roman" w:hAnsi="Times New Roman" w:cs="Times New Roman"/>
        </w:rPr>
        <w:t>丙酚替诺福韦和替诺福韦的中位血浆半衰期分别为</w:t>
      </w:r>
      <w:r w:rsidR="008B107E" w:rsidRPr="008B107E">
        <w:rPr>
          <w:rFonts w:ascii="Times New Roman" w:hAnsi="Times New Roman" w:cs="Times New Roman"/>
        </w:rPr>
        <w:t>0.51</w:t>
      </w:r>
      <w:r w:rsidR="008B107E" w:rsidRPr="008B107E">
        <w:rPr>
          <w:rFonts w:ascii="Times New Roman" w:hAnsi="Times New Roman" w:cs="Times New Roman"/>
        </w:rPr>
        <w:t>和</w:t>
      </w:r>
      <w:r w:rsidR="008B107E" w:rsidRPr="008B107E">
        <w:rPr>
          <w:rFonts w:ascii="Times New Roman" w:hAnsi="Times New Roman" w:cs="Times New Roman"/>
        </w:rPr>
        <w:t>32.37</w:t>
      </w:r>
      <w:r w:rsidR="008B107E" w:rsidRPr="008B107E">
        <w:rPr>
          <w:rFonts w:ascii="Times New Roman" w:hAnsi="Times New Roman" w:cs="Times New Roman"/>
        </w:rPr>
        <w:t>小时</w:t>
      </w:r>
      <w:r w:rsidR="008B107E">
        <w:rPr>
          <w:rFonts w:ascii="Times New Roman" w:hAnsi="Times New Roman" w:cs="Times New Roman" w:hint="eastAsia"/>
        </w:rPr>
        <w:t>。</w:t>
      </w:r>
    </w:p>
    <w:p w14:paraId="6DA5EDE7" w14:textId="7C4A3408" w:rsidR="005A2F16" w:rsidRPr="009D7813" w:rsidRDefault="005A2F16" w:rsidP="008B107E">
      <w:pPr>
        <w:spacing w:line="360" w:lineRule="auto"/>
        <w:ind w:firstLineChars="200" w:firstLine="640"/>
        <w:rPr>
          <w:rFonts w:ascii="Times New Roman" w:hAnsi="Times New Roman" w:cs="Times New Roman"/>
        </w:rPr>
      </w:pPr>
      <w:r w:rsidRPr="009D7813">
        <w:rPr>
          <w:rFonts w:ascii="Times New Roman" w:hAnsi="Times New Roman" w:cs="Times New Roman"/>
        </w:rPr>
        <w:t>目前，我国尚无本品生物等效性研究技术指导原则。为进一步规范</w:t>
      </w:r>
      <w:r w:rsidR="008B107E" w:rsidRPr="008B107E">
        <w:rPr>
          <w:rFonts w:ascii="Times New Roman" w:hAnsi="Times New Roman" w:cs="Times New Roman" w:hint="eastAsia"/>
        </w:rPr>
        <w:t>富马酸丙酚替诺福韦片</w:t>
      </w:r>
      <w:r w:rsidRPr="009D7813">
        <w:rPr>
          <w:rFonts w:ascii="Times New Roman" w:hAnsi="Times New Roman" w:cs="Times New Roman"/>
        </w:rPr>
        <w:t>生物等效性研究，药审中心组织起草了本指导原则，以期为</w:t>
      </w:r>
      <w:r w:rsidR="00360647">
        <w:rPr>
          <w:rFonts w:ascii="Times New Roman" w:hAnsi="Times New Roman" w:cs="Times New Roman" w:hint="eastAsia"/>
        </w:rPr>
        <w:t>该品种</w:t>
      </w:r>
      <w:r w:rsidR="00360647">
        <w:rPr>
          <w:rFonts w:ascii="Times New Roman" w:hAnsi="Times New Roman" w:cs="Times New Roman"/>
        </w:rPr>
        <w:t>的</w:t>
      </w:r>
      <w:r w:rsidRPr="009D7813">
        <w:rPr>
          <w:rFonts w:ascii="Times New Roman" w:hAnsi="Times New Roman" w:cs="Times New Roman"/>
        </w:rPr>
        <w:t>生物等效性研究提供技术指导。</w:t>
      </w:r>
    </w:p>
    <w:p w14:paraId="11A4A8AA" w14:textId="77777777" w:rsidR="002076FF" w:rsidRPr="00075DF1" w:rsidRDefault="0044710C" w:rsidP="00075DF1">
      <w:pPr>
        <w:spacing w:line="360" w:lineRule="auto"/>
        <w:ind w:firstLineChars="200" w:firstLine="640"/>
        <w:rPr>
          <w:rFonts w:ascii="Times New Roman" w:eastAsia="黑体" w:hAnsi="Times New Roman" w:cs="Times New Roman"/>
        </w:rPr>
      </w:pPr>
      <w:r w:rsidRPr="00075DF1">
        <w:rPr>
          <w:rFonts w:ascii="Times New Roman" w:eastAsia="黑体" w:hAnsi="Times New Roman" w:cs="Times New Roman"/>
        </w:rPr>
        <w:t>二、</w:t>
      </w:r>
      <w:r w:rsidR="002076FF" w:rsidRPr="00075DF1">
        <w:rPr>
          <w:rFonts w:ascii="Times New Roman" w:eastAsia="黑体" w:hAnsi="Times New Roman" w:cs="Times New Roman"/>
        </w:rPr>
        <w:t>起草过程</w:t>
      </w:r>
    </w:p>
    <w:p w14:paraId="791EBDCC" w14:textId="52E5D389" w:rsidR="002439F4" w:rsidRPr="009D7813" w:rsidRDefault="00D6373B" w:rsidP="00223C66">
      <w:pPr>
        <w:spacing w:line="360" w:lineRule="auto"/>
        <w:ind w:firstLineChars="200" w:firstLine="640"/>
        <w:rPr>
          <w:rFonts w:ascii="Times New Roman" w:hAnsi="Times New Roman" w:cs="Times New Roman"/>
        </w:rPr>
      </w:pPr>
      <w:r w:rsidRPr="00D6373B">
        <w:rPr>
          <w:rFonts w:ascii="Times New Roman" w:hAnsi="Times New Roman" w:cs="Times New Roman" w:hint="eastAsia"/>
        </w:rPr>
        <w:t>本指导原则由统计与临床药理学部牵头，纳入了中心</w:t>
      </w:r>
      <w:r>
        <w:rPr>
          <w:rFonts w:ascii="Times New Roman" w:hAnsi="Times New Roman" w:cs="Times New Roman"/>
        </w:rPr>
        <w:t>2022</w:t>
      </w:r>
      <w:r w:rsidRPr="00D6373B">
        <w:rPr>
          <w:rFonts w:ascii="Times New Roman" w:hAnsi="Times New Roman" w:cs="Times New Roman"/>
        </w:rPr>
        <w:t>年指导原则制修订计划。核心工作组成员经充分研究后，于</w:t>
      </w:r>
      <w:r>
        <w:rPr>
          <w:rFonts w:ascii="Times New Roman" w:hAnsi="Times New Roman" w:cs="Times New Roman"/>
        </w:rPr>
        <w:t>2022</w:t>
      </w:r>
      <w:r w:rsidRPr="00D6373B">
        <w:rPr>
          <w:rFonts w:ascii="Times New Roman" w:hAnsi="Times New Roman" w:cs="Times New Roman"/>
        </w:rPr>
        <w:t>年</w:t>
      </w:r>
      <w:r>
        <w:rPr>
          <w:rFonts w:ascii="Times New Roman" w:hAnsi="Times New Roman" w:cs="Times New Roman"/>
        </w:rPr>
        <w:t>4</w:t>
      </w:r>
      <w:r w:rsidRPr="00D6373B">
        <w:rPr>
          <w:rFonts w:ascii="Times New Roman" w:hAnsi="Times New Roman" w:cs="Times New Roman"/>
        </w:rPr>
        <w:t>月形成初稿并组织召开改稿会，结合参会专家意见以及中心内部反馈意见，并经部门技术委员会审核，形</w:t>
      </w:r>
      <w:r w:rsidRPr="00D6373B">
        <w:rPr>
          <w:rFonts w:ascii="Times New Roman" w:hAnsi="Times New Roman" w:cs="Times New Roman"/>
        </w:rPr>
        <w:lastRenderedPageBreak/>
        <w:t>成征求意见稿。</w:t>
      </w:r>
    </w:p>
    <w:p w14:paraId="769B6279" w14:textId="77777777" w:rsidR="002076FF" w:rsidRPr="009D7813" w:rsidRDefault="002076FF" w:rsidP="009D7813">
      <w:pPr>
        <w:spacing w:line="360" w:lineRule="auto"/>
        <w:ind w:firstLineChars="200" w:firstLine="640"/>
        <w:rPr>
          <w:rFonts w:ascii="黑体" w:eastAsia="黑体" w:hAnsi="黑体"/>
        </w:rPr>
      </w:pPr>
      <w:r w:rsidRPr="009D7813">
        <w:rPr>
          <w:rFonts w:ascii="黑体" w:eastAsia="黑体" w:hAnsi="黑体"/>
        </w:rPr>
        <w:t>三、主要内容与说明</w:t>
      </w:r>
    </w:p>
    <w:p w14:paraId="421DA049" w14:textId="2FD1F194" w:rsidR="009D7813" w:rsidRDefault="00B70F9D" w:rsidP="009D7813">
      <w:pPr>
        <w:spacing w:line="360" w:lineRule="auto"/>
        <w:ind w:firstLineChars="200" w:firstLine="640"/>
        <w:rPr>
          <w:rFonts w:ascii="Times New Roman" w:hAnsi="Times New Roman" w:cs="Times New Roman"/>
        </w:rPr>
      </w:pPr>
      <w:bookmarkStart w:id="1" w:name="OLE_LINK1"/>
      <w:bookmarkStart w:id="2" w:name="OLE_LINK2"/>
      <w:r w:rsidRPr="009D7813">
        <w:rPr>
          <w:rFonts w:ascii="Times New Roman" w:hAnsi="Times New Roman" w:cs="Times New Roman"/>
        </w:rPr>
        <w:t>本指导原则旨在</w:t>
      </w:r>
      <w:r w:rsidR="000E056F" w:rsidRPr="009D7813">
        <w:rPr>
          <w:rFonts w:ascii="Times New Roman" w:hAnsi="Times New Roman" w:cs="Times New Roman"/>
        </w:rPr>
        <w:t>为</w:t>
      </w:r>
      <w:r w:rsidR="002439F4">
        <w:rPr>
          <w:rFonts w:ascii="Times New Roman" w:hAnsi="Times New Roman" w:cs="Times New Roman" w:hint="eastAsia"/>
        </w:rPr>
        <w:t>富马酸丙酚替诺福韦</w:t>
      </w:r>
      <w:r w:rsidR="00483A33" w:rsidRPr="009D7813">
        <w:rPr>
          <w:rFonts w:ascii="Times New Roman" w:hAnsi="Times New Roman" w:cs="Times New Roman"/>
        </w:rPr>
        <w:t>片</w:t>
      </w:r>
      <w:r w:rsidR="005A2F16" w:rsidRPr="009D7813">
        <w:rPr>
          <w:rFonts w:ascii="Times New Roman" w:hAnsi="Times New Roman" w:cs="Times New Roman"/>
        </w:rPr>
        <w:t>生物等效性研究提供技术指导，主要内容包括研究</w:t>
      </w:r>
      <w:r w:rsidR="00483A33" w:rsidRPr="009D7813">
        <w:rPr>
          <w:rFonts w:ascii="Times New Roman" w:hAnsi="Times New Roman" w:cs="Times New Roman"/>
        </w:rPr>
        <w:t>类型、受试人群、给药剂量、给药方法、血样采集、检测物质、生物等效性评价以及</w:t>
      </w:r>
      <w:r w:rsidR="00F1441C" w:rsidRPr="009D7813">
        <w:rPr>
          <w:rFonts w:ascii="Times New Roman" w:hAnsi="Times New Roman" w:cs="Times New Roman"/>
        </w:rPr>
        <w:t>生物等效性研究</w:t>
      </w:r>
      <w:r w:rsidR="00483A33" w:rsidRPr="009D7813">
        <w:rPr>
          <w:rFonts w:ascii="Times New Roman" w:hAnsi="Times New Roman" w:cs="Times New Roman"/>
        </w:rPr>
        <w:t>豁免等。</w:t>
      </w:r>
    </w:p>
    <w:bookmarkEnd w:id="1"/>
    <w:bookmarkEnd w:id="2"/>
    <w:p w14:paraId="09F95349" w14:textId="1A34C23C" w:rsidR="0011046F" w:rsidRDefault="0011046F" w:rsidP="00223C66">
      <w:pPr>
        <w:spacing w:line="360" w:lineRule="auto"/>
        <w:ind w:firstLineChars="200" w:firstLine="640"/>
        <w:rPr>
          <w:rFonts w:ascii="Times New Roman" w:hAnsi="Times New Roman" w:cs="Times New Roman"/>
        </w:rPr>
      </w:pPr>
      <w:r>
        <w:rPr>
          <w:rFonts w:ascii="Times New Roman" w:hAnsi="Times New Roman" w:cs="Times New Roman" w:hint="eastAsia"/>
        </w:rPr>
        <w:t>富马酸丙酚替诺福韦</w:t>
      </w:r>
      <w:r w:rsidR="005A2F16" w:rsidRPr="009D7813">
        <w:rPr>
          <w:rFonts w:ascii="Times New Roman" w:hAnsi="Times New Roman" w:cs="Times New Roman"/>
        </w:rPr>
        <w:t>片生物等效性研究应符合本指导原则，还应参照</w:t>
      </w:r>
      <w:r w:rsidRPr="0000373A">
        <w:rPr>
          <w:rFonts w:ascii="Times New Roman" w:hAnsi="Times New Roman" w:cs="Times New Roman" w:hint="eastAsia"/>
        </w:rPr>
        <w:t>《以药动学参数为终点评价指标的化学药物仿制药人体生物等效性研究技术指导原则》、《高变异药物生</w:t>
      </w:r>
      <w:r>
        <w:rPr>
          <w:rFonts w:ascii="Times New Roman" w:hAnsi="Times New Roman" w:cs="Times New Roman" w:hint="eastAsia"/>
        </w:rPr>
        <w:t>物等效性研究技术指导原则》、《生物等效性研究的统计学指导原则》</w:t>
      </w:r>
      <w:r w:rsidR="005A2F16" w:rsidRPr="009D7813">
        <w:rPr>
          <w:rFonts w:ascii="Times New Roman" w:hAnsi="Times New Roman" w:cs="Times New Roman"/>
        </w:rPr>
        <w:t>等相关指导原则。</w:t>
      </w:r>
    </w:p>
    <w:p w14:paraId="1B5D9660" w14:textId="77777777" w:rsidR="00AF5636" w:rsidRPr="009D7813" w:rsidRDefault="00AF5636" w:rsidP="00C605CE">
      <w:pPr>
        <w:spacing w:line="360" w:lineRule="auto"/>
        <w:ind w:firstLineChars="200" w:firstLine="640"/>
        <w:rPr>
          <w:rFonts w:ascii="Times New Roman" w:hAnsi="Times New Roman" w:cs="Times New Roman"/>
        </w:rPr>
      </w:pPr>
    </w:p>
    <w:sectPr w:rsidR="00AF5636" w:rsidRPr="009D78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E02E9" w14:textId="77777777" w:rsidR="000D5D28" w:rsidRDefault="000D5D28" w:rsidP="002076FF">
      <w:r>
        <w:separator/>
      </w:r>
    </w:p>
  </w:endnote>
  <w:endnote w:type="continuationSeparator" w:id="0">
    <w:p w14:paraId="31FC9549" w14:textId="77777777" w:rsidR="000D5D28" w:rsidRDefault="000D5D28" w:rsidP="0020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D20DF" w14:textId="77777777" w:rsidR="000D5D28" w:rsidRDefault="000D5D28" w:rsidP="002076FF">
      <w:r>
        <w:separator/>
      </w:r>
    </w:p>
  </w:footnote>
  <w:footnote w:type="continuationSeparator" w:id="0">
    <w:p w14:paraId="5B199AA0" w14:textId="77777777" w:rsidR="000D5D28" w:rsidRDefault="000D5D28" w:rsidP="002076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5pt;height:11.35pt" o:bullet="t">
        <v:imagedata r:id="rId1" o:title="art805E"/>
      </v:shape>
    </w:pict>
  </w:numPicBullet>
  <w:abstractNum w:abstractNumId="0" w15:restartNumberingAfterBreak="0">
    <w:nsid w:val="17957483"/>
    <w:multiLevelType w:val="singleLevel"/>
    <w:tmpl w:val="17957483"/>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276"/>
    <w:rsid w:val="0000373A"/>
    <w:rsid w:val="00006E5B"/>
    <w:rsid w:val="00007A24"/>
    <w:rsid w:val="00010960"/>
    <w:rsid w:val="00024553"/>
    <w:rsid w:val="000265E1"/>
    <w:rsid w:val="000739F4"/>
    <w:rsid w:val="00075DF1"/>
    <w:rsid w:val="000851C5"/>
    <w:rsid w:val="000B0EE2"/>
    <w:rsid w:val="000D5D28"/>
    <w:rsid w:val="000E056F"/>
    <w:rsid w:val="0010542E"/>
    <w:rsid w:val="0010633E"/>
    <w:rsid w:val="0011046F"/>
    <w:rsid w:val="001136CE"/>
    <w:rsid w:val="00141B6F"/>
    <w:rsid w:val="00150CE9"/>
    <w:rsid w:val="001564EF"/>
    <w:rsid w:val="001D695F"/>
    <w:rsid w:val="002076FF"/>
    <w:rsid w:val="00223C66"/>
    <w:rsid w:val="002439F4"/>
    <w:rsid w:val="00270A83"/>
    <w:rsid w:val="002A683D"/>
    <w:rsid w:val="002A7735"/>
    <w:rsid w:val="002B56A4"/>
    <w:rsid w:val="002E098D"/>
    <w:rsid w:val="00317C76"/>
    <w:rsid w:val="00347BFE"/>
    <w:rsid w:val="00360647"/>
    <w:rsid w:val="00363EA6"/>
    <w:rsid w:val="00383B94"/>
    <w:rsid w:val="003A2ACA"/>
    <w:rsid w:val="003A493F"/>
    <w:rsid w:val="003C3832"/>
    <w:rsid w:val="003F1E80"/>
    <w:rsid w:val="003F57BB"/>
    <w:rsid w:val="00412FA4"/>
    <w:rsid w:val="00444D23"/>
    <w:rsid w:val="0044710C"/>
    <w:rsid w:val="00455F5D"/>
    <w:rsid w:val="00483A33"/>
    <w:rsid w:val="004874FA"/>
    <w:rsid w:val="004C6DE0"/>
    <w:rsid w:val="004E04F6"/>
    <w:rsid w:val="004E6B1D"/>
    <w:rsid w:val="004F2B72"/>
    <w:rsid w:val="004F5088"/>
    <w:rsid w:val="005146B0"/>
    <w:rsid w:val="0051501D"/>
    <w:rsid w:val="00531A99"/>
    <w:rsid w:val="0054109D"/>
    <w:rsid w:val="00541DB4"/>
    <w:rsid w:val="00545F0A"/>
    <w:rsid w:val="00571212"/>
    <w:rsid w:val="00580D4A"/>
    <w:rsid w:val="005A2F16"/>
    <w:rsid w:val="005C0F13"/>
    <w:rsid w:val="005E1807"/>
    <w:rsid w:val="005F1ECC"/>
    <w:rsid w:val="005F2FB8"/>
    <w:rsid w:val="006031FD"/>
    <w:rsid w:val="006961D3"/>
    <w:rsid w:val="006D192B"/>
    <w:rsid w:val="006F4915"/>
    <w:rsid w:val="00731E30"/>
    <w:rsid w:val="00740E77"/>
    <w:rsid w:val="00780EF2"/>
    <w:rsid w:val="007933B3"/>
    <w:rsid w:val="007A14C1"/>
    <w:rsid w:val="007A7D9A"/>
    <w:rsid w:val="007F24CD"/>
    <w:rsid w:val="007F3259"/>
    <w:rsid w:val="00814424"/>
    <w:rsid w:val="008179FE"/>
    <w:rsid w:val="00821C2F"/>
    <w:rsid w:val="008423B8"/>
    <w:rsid w:val="008626D9"/>
    <w:rsid w:val="008847F3"/>
    <w:rsid w:val="00885DD3"/>
    <w:rsid w:val="00896D65"/>
    <w:rsid w:val="008B107E"/>
    <w:rsid w:val="008C0611"/>
    <w:rsid w:val="008D2D55"/>
    <w:rsid w:val="008F23DF"/>
    <w:rsid w:val="0091343B"/>
    <w:rsid w:val="00921272"/>
    <w:rsid w:val="00925D09"/>
    <w:rsid w:val="00944124"/>
    <w:rsid w:val="00957E36"/>
    <w:rsid w:val="009646A7"/>
    <w:rsid w:val="00981B50"/>
    <w:rsid w:val="009A2E67"/>
    <w:rsid w:val="009B3AE5"/>
    <w:rsid w:val="009B46B6"/>
    <w:rsid w:val="009B5845"/>
    <w:rsid w:val="009C2794"/>
    <w:rsid w:val="009D2E63"/>
    <w:rsid w:val="009D7813"/>
    <w:rsid w:val="00A13837"/>
    <w:rsid w:val="00A161F6"/>
    <w:rsid w:val="00A2734C"/>
    <w:rsid w:val="00A3389B"/>
    <w:rsid w:val="00A41E53"/>
    <w:rsid w:val="00A44F56"/>
    <w:rsid w:val="00A85458"/>
    <w:rsid w:val="00A97EB1"/>
    <w:rsid w:val="00AA1CD0"/>
    <w:rsid w:val="00AC66E9"/>
    <w:rsid w:val="00AF52E0"/>
    <w:rsid w:val="00AF5636"/>
    <w:rsid w:val="00B33D37"/>
    <w:rsid w:val="00B53FF1"/>
    <w:rsid w:val="00B550C9"/>
    <w:rsid w:val="00B64D5B"/>
    <w:rsid w:val="00B65C74"/>
    <w:rsid w:val="00B70E9A"/>
    <w:rsid w:val="00B70F9D"/>
    <w:rsid w:val="00B81B34"/>
    <w:rsid w:val="00BD0CA0"/>
    <w:rsid w:val="00BD5AC7"/>
    <w:rsid w:val="00BE5D7E"/>
    <w:rsid w:val="00BF3C23"/>
    <w:rsid w:val="00C605CE"/>
    <w:rsid w:val="00C61FAD"/>
    <w:rsid w:val="00C64091"/>
    <w:rsid w:val="00C73549"/>
    <w:rsid w:val="00C74E65"/>
    <w:rsid w:val="00C812BF"/>
    <w:rsid w:val="00CB06B9"/>
    <w:rsid w:val="00CD555B"/>
    <w:rsid w:val="00CD6889"/>
    <w:rsid w:val="00CE2F5C"/>
    <w:rsid w:val="00CF19D6"/>
    <w:rsid w:val="00D114DB"/>
    <w:rsid w:val="00D41276"/>
    <w:rsid w:val="00D6373B"/>
    <w:rsid w:val="00DB0533"/>
    <w:rsid w:val="00DC184F"/>
    <w:rsid w:val="00E42AEE"/>
    <w:rsid w:val="00E50555"/>
    <w:rsid w:val="00E57577"/>
    <w:rsid w:val="00E727A9"/>
    <w:rsid w:val="00E73DE7"/>
    <w:rsid w:val="00E74CC9"/>
    <w:rsid w:val="00E76CFA"/>
    <w:rsid w:val="00E800A6"/>
    <w:rsid w:val="00E86E83"/>
    <w:rsid w:val="00EA1547"/>
    <w:rsid w:val="00EB4C4A"/>
    <w:rsid w:val="00EC0906"/>
    <w:rsid w:val="00ED7886"/>
    <w:rsid w:val="00F0247C"/>
    <w:rsid w:val="00F1441C"/>
    <w:rsid w:val="00F61121"/>
    <w:rsid w:val="00F6236F"/>
    <w:rsid w:val="00F81622"/>
    <w:rsid w:val="00FA2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A4F75"/>
  <w15:chartTrackingRefBased/>
  <w15:docId w15:val="{28F3F292-6683-4E90-8687-F5F461E98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6FF"/>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76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076FF"/>
    <w:rPr>
      <w:sz w:val="18"/>
      <w:szCs w:val="18"/>
    </w:rPr>
  </w:style>
  <w:style w:type="paragraph" w:styleId="a5">
    <w:name w:val="footer"/>
    <w:basedOn w:val="a"/>
    <w:link w:val="a6"/>
    <w:uiPriority w:val="99"/>
    <w:unhideWhenUsed/>
    <w:rsid w:val="002076FF"/>
    <w:pPr>
      <w:tabs>
        <w:tab w:val="center" w:pos="4153"/>
        <w:tab w:val="right" w:pos="8306"/>
      </w:tabs>
      <w:snapToGrid w:val="0"/>
      <w:jc w:val="left"/>
    </w:pPr>
    <w:rPr>
      <w:sz w:val="18"/>
      <w:szCs w:val="18"/>
    </w:rPr>
  </w:style>
  <w:style w:type="character" w:customStyle="1" w:styleId="a6">
    <w:name w:val="页脚 字符"/>
    <w:basedOn w:val="a0"/>
    <w:link w:val="a5"/>
    <w:uiPriority w:val="99"/>
    <w:rsid w:val="002076FF"/>
    <w:rPr>
      <w:sz w:val="18"/>
      <w:szCs w:val="18"/>
    </w:rPr>
  </w:style>
  <w:style w:type="table" w:styleId="a7">
    <w:name w:val="Table Grid"/>
    <w:basedOn w:val="a1"/>
    <w:uiPriority w:val="39"/>
    <w:rsid w:val="001136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8C0611"/>
    <w:rPr>
      <w:sz w:val="21"/>
      <w:szCs w:val="21"/>
    </w:rPr>
  </w:style>
  <w:style w:type="paragraph" w:styleId="a9">
    <w:name w:val="annotation text"/>
    <w:basedOn w:val="a"/>
    <w:link w:val="aa"/>
    <w:uiPriority w:val="99"/>
    <w:semiHidden/>
    <w:unhideWhenUsed/>
    <w:rsid w:val="008C0611"/>
    <w:pPr>
      <w:jc w:val="left"/>
    </w:pPr>
  </w:style>
  <w:style w:type="character" w:customStyle="1" w:styleId="aa">
    <w:name w:val="批注文字 字符"/>
    <w:basedOn w:val="a0"/>
    <w:link w:val="a9"/>
    <w:uiPriority w:val="99"/>
    <w:semiHidden/>
    <w:rsid w:val="008C0611"/>
    <w:rPr>
      <w:rFonts w:eastAsia="仿宋_GB2312"/>
      <w:sz w:val="32"/>
    </w:rPr>
  </w:style>
  <w:style w:type="paragraph" w:styleId="ab">
    <w:name w:val="annotation subject"/>
    <w:basedOn w:val="a9"/>
    <w:next w:val="a9"/>
    <w:link w:val="ac"/>
    <w:uiPriority w:val="99"/>
    <w:semiHidden/>
    <w:unhideWhenUsed/>
    <w:rsid w:val="008C0611"/>
    <w:rPr>
      <w:b/>
      <w:bCs/>
    </w:rPr>
  </w:style>
  <w:style w:type="character" w:customStyle="1" w:styleId="ac">
    <w:name w:val="批注主题 字符"/>
    <w:basedOn w:val="aa"/>
    <w:link w:val="ab"/>
    <w:uiPriority w:val="99"/>
    <w:semiHidden/>
    <w:rsid w:val="008C0611"/>
    <w:rPr>
      <w:rFonts w:eastAsia="仿宋_GB2312"/>
      <w:b/>
      <w:bCs/>
      <w:sz w:val="32"/>
    </w:rPr>
  </w:style>
  <w:style w:type="paragraph" w:styleId="ad">
    <w:name w:val="Balloon Text"/>
    <w:basedOn w:val="a"/>
    <w:link w:val="ae"/>
    <w:uiPriority w:val="99"/>
    <w:semiHidden/>
    <w:unhideWhenUsed/>
    <w:rsid w:val="008C0611"/>
    <w:rPr>
      <w:sz w:val="18"/>
      <w:szCs w:val="18"/>
    </w:rPr>
  </w:style>
  <w:style w:type="character" w:customStyle="1" w:styleId="ae">
    <w:name w:val="批注框文本 字符"/>
    <w:basedOn w:val="a0"/>
    <w:link w:val="ad"/>
    <w:uiPriority w:val="99"/>
    <w:semiHidden/>
    <w:rsid w:val="008C0611"/>
    <w:rPr>
      <w:rFonts w:eastAsia="仿宋_GB2312"/>
      <w:sz w:val="18"/>
      <w:szCs w:val="18"/>
    </w:rPr>
  </w:style>
  <w:style w:type="paragraph" w:customStyle="1" w:styleId="2">
    <w:name w:val="正文2"/>
    <w:basedOn w:val="a"/>
    <w:link w:val="20"/>
    <w:qFormat/>
    <w:rsid w:val="00A161F6"/>
    <w:pPr>
      <w:widowControl/>
      <w:spacing w:line="276" w:lineRule="auto"/>
      <w:ind w:firstLineChars="200" w:firstLine="640"/>
    </w:pPr>
    <w:rPr>
      <w:rFonts w:ascii="Times New Roman" w:hAnsi="Times New Roman"/>
      <w:kern w:val="0"/>
    </w:rPr>
  </w:style>
  <w:style w:type="character" w:customStyle="1" w:styleId="20">
    <w:name w:val="正文2 字符"/>
    <w:basedOn w:val="a0"/>
    <w:link w:val="2"/>
    <w:rsid w:val="00A161F6"/>
    <w:rPr>
      <w:rFonts w:ascii="Times New Roman" w:eastAsia="仿宋_GB2312" w:hAnsi="Times New Roman"/>
      <w:kern w:val="0"/>
      <w:sz w:val="32"/>
    </w:rPr>
  </w:style>
  <w:style w:type="table" w:customStyle="1" w:styleId="5">
    <w:name w:val="网格型5"/>
    <w:basedOn w:val="a1"/>
    <w:next w:val="a7"/>
    <w:uiPriority w:val="59"/>
    <w:qFormat/>
    <w:rsid w:val="00CF19D6"/>
    <w:rPr>
      <w:rFonts w:ascii="Calibri" w:eastAsia="宋体"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186371">
      <w:bodyDiv w:val="1"/>
      <w:marLeft w:val="0"/>
      <w:marRight w:val="0"/>
      <w:marTop w:val="0"/>
      <w:marBottom w:val="0"/>
      <w:divBdr>
        <w:top w:val="none" w:sz="0" w:space="0" w:color="auto"/>
        <w:left w:val="none" w:sz="0" w:space="0" w:color="auto"/>
        <w:bottom w:val="none" w:sz="0" w:space="0" w:color="auto"/>
        <w:right w:val="none" w:sz="0" w:space="0" w:color="auto"/>
      </w:divBdr>
      <w:divsChild>
        <w:div w:id="1606302219">
          <w:marLeft w:val="547"/>
          <w:marRight w:val="0"/>
          <w:marTop w:val="192"/>
          <w:marBottom w:val="0"/>
          <w:divBdr>
            <w:top w:val="none" w:sz="0" w:space="0" w:color="auto"/>
            <w:left w:val="none" w:sz="0" w:space="0" w:color="auto"/>
            <w:bottom w:val="none" w:sz="0" w:space="0" w:color="auto"/>
            <w:right w:val="none" w:sz="0" w:space="0" w:color="auto"/>
          </w:divBdr>
        </w:div>
        <w:div w:id="1250232593">
          <w:marLeft w:val="547"/>
          <w:marRight w:val="0"/>
          <w:marTop w:val="192"/>
          <w:marBottom w:val="0"/>
          <w:divBdr>
            <w:top w:val="none" w:sz="0" w:space="0" w:color="auto"/>
            <w:left w:val="none" w:sz="0" w:space="0" w:color="auto"/>
            <w:bottom w:val="none" w:sz="0" w:space="0" w:color="auto"/>
            <w:right w:val="none" w:sz="0" w:space="0" w:color="auto"/>
          </w:divBdr>
        </w:div>
        <w:div w:id="1717655449">
          <w:marLeft w:val="547"/>
          <w:marRight w:val="0"/>
          <w:marTop w:val="192"/>
          <w:marBottom w:val="0"/>
          <w:divBdr>
            <w:top w:val="none" w:sz="0" w:space="0" w:color="auto"/>
            <w:left w:val="none" w:sz="0" w:space="0" w:color="auto"/>
            <w:bottom w:val="none" w:sz="0" w:space="0" w:color="auto"/>
            <w:right w:val="none" w:sz="0" w:space="0" w:color="auto"/>
          </w:divBdr>
        </w:div>
      </w:divsChild>
    </w:div>
    <w:div w:id="1703628525">
      <w:bodyDiv w:val="1"/>
      <w:marLeft w:val="0"/>
      <w:marRight w:val="0"/>
      <w:marTop w:val="0"/>
      <w:marBottom w:val="0"/>
      <w:divBdr>
        <w:top w:val="none" w:sz="0" w:space="0" w:color="auto"/>
        <w:left w:val="none" w:sz="0" w:space="0" w:color="auto"/>
        <w:bottom w:val="none" w:sz="0" w:space="0" w:color="auto"/>
        <w:right w:val="none" w:sz="0" w:space="0" w:color="auto"/>
      </w:divBdr>
    </w:div>
    <w:div w:id="1783184268">
      <w:bodyDiv w:val="1"/>
      <w:marLeft w:val="0"/>
      <w:marRight w:val="0"/>
      <w:marTop w:val="0"/>
      <w:marBottom w:val="0"/>
      <w:divBdr>
        <w:top w:val="none" w:sz="0" w:space="0" w:color="auto"/>
        <w:left w:val="none" w:sz="0" w:space="0" w:color="auto"/>
        <w:bottom w:val="none" w:sz="0" w:space="0" w:color="auto"/>
        <w:right w:val="none" w:sz="0" w:space="0" w:color="auto"/>
      </w:divBdr>
      <w:divsChild>
        <w:div w:id="1268856028">
          <w:marLeft w:val="547"/>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599</Characters>
  <Application>Microsoft Office Word</Application>
  <DocSecurity>0</DocSecurity>
  <Lines>4</Lines>
  <Paragraphs>1</Paragraphs>
  <ScaleCrop>false</ScaleCrop>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dc:creator>
  <cp:keywords/>
  <dc:description/>
  <cp:lastModifiedBy>刘冬</cp:lastModifiedBy>
  <cp:revision>6</cp:revision>
  <cp:lastPrinted>2022-06-15T06:47:00Z</cp:lastPrinted>
  <dcterms:created xsi:type="dcterms:W3CDTF">2022-06-15T06:47:00Z</dcterms:created>
  <dcterms:modified xsi:type="dcterms:W3CDTF">2022-06-21T02:28:00Z</dcterms:modified>
</cp:coreProperties>
</file>