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E34" w:rsidRDefault="004F4E34" w:rsidP="004F4E34">
      <w:pPr>
        <w:spacing w:beforeLines="100" w:before="312" w:afterLines="100" w:after="312"/>
        <w:jc w:val="center"/>
        <w:rPr>
          <w:rFonts w:ascii="方正小标宋简体" w:eastAsia="方正小标宋简体" w:hAnsi="Times New Roman" w:cs="Times New Roman"/>
          <w:sz w:val="36"/>
          <w:szCs w:val="36"/>
        </w:rPr>
      </w:pPr>
      <w:bookmarkStart w:id="0" w:name="_GoBack"/>
      <w:bookmarkEnd w:id="0"/>
      <w:r>
        <w:rPr>
          <w:rFonts w:ascii="方正小标宋简体" w:eastAsia="方正小标宋简体" w:hAnsi="Times New Roman" w:cs="Times New Roman" w:hint="eastAsia"/>
          <w:sz w:val="36"/>
          <w:szCs w:val="36"/>
        </w:rPr>
        <w:t>《</w:t>
      </w:r>
      <w:r w:rsidR="006E1DAC">
        <w:rPr>
          <w:rFonts w:ascii="方正小标宋简体" w:eastAsia="方正小标宋简体" w:hAnsi="Times New Roman" w:cs="Times New Roman" w:hint="eastAsia"/>
          <w:sz w:val="36"/>
          <w:szCs w:val="36"/>
        </w:rPr>
        <w:t>氯雷他定</w:t>
      </w:r>
      <w:r>
        <w:rPr>
          <w:rFonts w:ascii="方正小标宋简体" w:eastAsia="方正小标宋简体" w:hAnsi="Times New Roman" w:cs="Times New Roman" w:hint="eastAsia"/>
          <w:sz w:val="36"/>
          <w:szCs w:val="36"/>
        </w:rPr>
        <w:t>片生物等效性研究指导原则（征求意见稿）》起草说明</w:t>
      </w:r>
    </w:p>
    <w:p w:rsidR="004F4E34" w:rsidRDefault="004F4E34" w:rsidP="004F4E34">
      <w:pPr>
        <w:adjustRightInd w:val="0"/>
        <w:snapToGrid w:val="0"/>
        <w:spacing w:line="360" w:lineRule="auto"/>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为进一步规范</w:t>
      </w:r>
      <w:r w:rsidR="006E1DAC">
        <w:rPr>
          <w:rFonts w:ascii="Times New Roman" w:eastAsia="仿宋_GB2312" w:hAnsi="Times New Roman" w:cs="Times New Roman" w:hint="eastAsia"/>
          <w:color w:val="000000"/>
          <w:sz w:val="32"/>
          <w:szCs w:val="32"/>
        </w:rPr>
        <w:t>氯雷他定</w:t>
      </w:r>
      <w:r>
        <w:rPr>
          <w:rFonts w:ascii="Times New Roman" w:eastAsia="仿宋_GB2312" w:hAnsi="Times New Roman" w:cs="Times New Roman" w:hint="eastAsia"/>
          <w:color w:val="000000"/>
          <w:sz w:val="32"/>
          <w:szCs w:val="32"/>
        </w:rPr>
        <w:t>片生物等效性研究，药品审评中心组织起草了《</w:t>
      </w:r>
      <w:r w:rsidR="006E1DAC">
        <w:rPr>
          <w:rFonts w:ascii="Times New Roman" w:eastAsia="仿宋_GB2312" w:hAnsi="Times New Roman" w:cs="Times New Roman" w:hint="eastAsia"/>
          <w:color w:val="000000"/>
          <w:sz w:val="32"/>
          <w:szCs w:val="32"/>
        </w:rPr>
        <w:t>氯雷他定</w:t>
      </w:r>
      <w:r>
        <w:rPr>
          <w:rFonts w:ascii="Times New Roman" w:eastAsia="仿宋_GB2312" w:hAnsi="Times New Roman" w:cs="Times New Roman" w:hint="eastAsia"/>
          <w:color w:val="000000"/>
          <w:sz w:val="32"/>
          <w:szCs w:val="32"/>
        </w:rPr>
        <w:t>片生物等效性研究指导原则》，经中心内部讨论并征求专家意见，形成征求意见稿。现将有关情况说明如下：</w:t>
      </w:r>
    </w:p>
    <w:p w:rsidR="004F4E34" w:rsidRDefault="004F4E34" w:rsidP="004F4E34">
      <w:pPr>
        <w:jc w:val="left"/>
        <w:rPr>
          <w:rFonts w:ascii="黑体" w:eastAsia="黑体" w:hAnsi="黑体" w:cs="Times New Roman"/>
          <w:sz w:val="32"/>
          <w:szCs w:val="32"/>
        </w:rPr>
      </w:pPr>
      <w:r>
        <w:rPr>
          <w:rFonts w:ascii="黑体" w:eastAsia="黑体" w:hAnsi="黑体" w:cs="Times New Roman" w:hint="eastAsia"/>
          <w:sz w:val="32"/>
          <w:szCs w:val="32"/>
        </w:rPr>
        <w:t>一、背景和目的</w:t>
      </w:r>
    </w:p>
    <w:p w:rsidR="004F4E34" w:rsidRDefault="00203AA8" w:rsidP="004F4E34">
      <w:pPr>
        <w:autoSpaceDE w:val="0"/>
        <w:autoSpaceDN w:val="0"/>
        <w:adjustRightInd w:val="0"/>
        <w:spacing w:before="120" w:line="240" w:lineRule="atLeast"/>
        <w:ind w:left="108" w:right="108" w:firstLineChars="200" w:firstLine="640"/>
        <w:rPr>
          <w:rFonts w:ascii="Times New Roman" w:eastAsia="仿宋_GB2312" w:hAnsi="Times New Roman" w:cs="Times New Roman"/>
          <w:sz w:val="32"/>
          <w:szCs w:val="32"/>
          <w:highlight w:val="yellow"/>
        </w:rPr>
      </w:pPr>
      <w:r w:rsidRPr="00203AA8">
        <w:rPr>
          <w:rFonts w:ascii="Times New Roman" w:eastAsia="仿宋_GB2312" w:hAnsi="Times New Roman" w:cs="Times New Roman"/>
          <w:color w:val="000000"/>
          <w:sz w:val="32"/>
          <w:szCs w:val="32"/>
        </w:rPr>
        <w:t>氯雷他定片</w:t>
      </w:r>
      <w:r w:rsidR="004B5324" w:rsidRPr="004B5324">
        <w:rPr>
          <w:rFonts w:ascii="Times New Roman" w:eastAsia="仿宋_GB2312" w:hAnsi="Times New Roman" w:cs="Times New Roman" w:hint="eastAsia"/>
          <w:color w:val="000000"/>
          <w:sz w:val="32"/>
          <w:szCs w:val="32"/>
        </w:rPr>
        <w:t>（</w:t>
      </w:r>
      <w:r w:rsidR="004B5324" w:rsidRPr="004B5324">
        <w:rPr>
          <w:rFonts w:ascii="Times New Roman" w:eastAsia="仿宋_GB2312" w:hAnsi="Times New Roman" w:cs="Times New Roman"/>
          <w:color w:val="000000"/>
          <w:sz w:val="32"/>
          <w:szCs w:val="32"/>
        </w:rPr>
        <w:t>Loratadine Tablets</w:t>
      </w:r>
      <w:r w:rsidR="004B5324" w:rsidRPr="004B5324">
        <w:rPr>
          <w:rFonts w:ascii="Times New Roman" w:eastAsia="仿宋_GB2312" w:hAnsi="Times New Roman" w:cs="Times New Roman" w:hint="eastAsia"/>
          <w:color w:val="000000"/>
          <w:sz w:val="32"/>
          <w:szCs w:val="32"/>
        </w:rPr>
        <w:t>）</w:t>
      </w:r>
      <w:r w:rsidRPr="00203AA8">
        <w:rPr>
          <w:rFonts w:ascii="Times New Roman" w:eastAsia="仿宋_GB2312" w:hAnsi="Times New Roman" w:cs="Times New Roman"/>
          <w:color w:val="000000"/>
          <w:sz w:val="32"/>
          <w:szCs w:val="32"/>
        </w:rPr>
        <w:t>临床上用于缓解过敏性鼻炎有关的症状，如喷嚏、流涕、鼻痒、鼻塞以及眼部痒及烧灼感；</w:t>
      </w:r>
      <w:r w:rsidR="004B5324">
        <w:rPr>
          <w:rFonts w:ascii="Times New Roman" w:eastAsia="仿宋_GB2312" w:hAnsi="Times New Roman" w:cs="Times New Roman" w:hint="eastAsia"/>
          <w:color w:val="000000"/>
          <w:sz w:val="32"/>
          <w:szCs w:val="32"/>
        </w:rPr>
        <w:t>亦</w:t>
      </w:r>
      <w:r w:rsidR="004C7CFC">
        <w:rPr>
          <w:rFonts w:ascii="Times New Roman" w:eastAsia="仿宋_GB2312" w:hAnsi="Times New Roman" w:cs="Times New Roman" w:hint="eastAsia"/>
          <w:color w:val="000000"/>
          <w:sz w:val="32"/>
          <w:szCs w:val="32"/>
        </w:rPr>
        <w:t>适</w:t>
      </w:r>
      <w:r w:rsidR="004B5324">
        <w:rPr>
          <w:rFonts w:ascii="Times New Roman" w:eastAsia="仿宋_GB2312" w:hAnsi="Times New Roman" w:cs="Times New Roman" w:hint="eastAsia"/>
          <w:color w:val="000000"/>
          <w:sz w:val="32"/>
          <w:szCs w:val="32"/>
        </w:rPr>
        <w:t>用于</w:t>
      </w:r>
      <w:r w:rsidRPr="00203AA8">
        <w:rPr>
          <w:rFonts w:ascii="Times New Roman" w:eastAsia="仿宋_GB2312" w:hAnsi="Times New Roman" w:cs="Times New Roman"/>
          <w:color w:val="000000"/>
          <w:sz w:val="32"/>
          <w:szCs w:val="32"/>
        </w:rPr>
        <w:t>缓解慢性荨麻疹、瘙痒性皮肤病及其他过敏性皮肤病的症状及体征。主要成份为氯雷他定，其活性代谢产物为脱羧乙氧基氯雷他定</w:t>
      </w:r>
      <w:r w:rsidR="004F4E34">
        <w:rPr>
          <w:rFonts w:ascii="Times New Roman" w:eastAsia="仿宋_GB2312" w:hAnsi="Times New Roman" w:cs="Times New Roman" w:hint="eastAsia"/>
          <w:color w:val="000000"/>
          <w:sz w:val="32"/>
          <w:szCs w:val="32"/>
        </w:rPr>
        <w:t>。目前，我国尚无本品生物等效性研究技术指导原则。</w:t>
      </w:r>
    </w:p>
    <w:p w:rsidR="004F4E34" w:rsidRDefault="004F4E34" w:rsidP="004F4E34">
      <w:pPr>
        <w:autoSpaceDE w:val="0"/>
        <w:autoSpaceDN w:val="0"/>
        <w:adjustRightInd w:val="0"/>
        <w:spacing w:before="120" w:line="240" w:lineRule="atLeast"/>
        <w:ind w:left="108" w:right="108" w:firstLineChars="200" w:firstLine="640"/>
        <w:rPr>
          <w:rFonts w:ascii="仿宋_GB2312" w:eastAsia="仿宋_GB2312" w:cs="仿宋_GB2312"/>
          <w:color w:val="000000"/>
          <w:kern w:val="0"/>
          <w:sz w:val="32"/>
          <w:szCs w:val="32"/>
          <w:highlight w:val="yellow"/>
        </w:rPr>
      </w:pPr>
      <w:r>
        <w:rPr>
          <w:rFonts w:ascii="仿宋_GB2312" w:eastAsia="仿宋_GB2312" w:cs="仿宋_GB2312" w:hint="eastAsia"/>
          <w:color w:val="000000"/>
          <w:kern w:val="0"/>
          <w:sz w:val="32"/>
          <w:szCs w:val="32"/>
        </w:rPr>
        <w:t>为指导</w:t>
      </w:r>
      <w:r w:rsidR="006E1DAC">
        <w:rPr>
          <w:rFonts w:ascii="Times New Roman" w:eastAsia="仿宋_GB2312" w:hAnsi="Times New Roman" w:cs="Times New Roman" w:hint="eastAsia"/>
          <w:color w:val="000000"/>
          <w:sz w:val="32"/>
          <w:szCs w:val="32"/>
        </w:rPr>
        <w:t>氯雷他定</w:t>
      </w:r>
      <w:r>
        <w:rPr>
          <w:rFonts w:ascii="Times New Roman" w:eastAsia="仿宋_GB2312" w:hAnsi="Times New Roman" w:cs="Times New Roman" w:hint="eastAsia"/>
          <w:color w:val="000000"/>
          <w:sz w:val="32"/>
          <w:szCs w:val="32"/>
        </w:rPr>
        <w:t>片</w:t>
      </w:r>
      <w:r>
        <w:rPr>
          <w:rFonts w:ascii="Times New Roman" w:eastAsia="仿宋_GB2312" w:hAnsi="Times New Roman" w:cs="Times New Roman" w:hint="eastAsia"/>
          <w:sz w:val="32"/>
          <w:szCs w:val="32"/>
        </w:rPr>
        <w:t>生物等效性研究</w:t>
      </w:r>
      <w:r>
        <w:rPr>
          <w:rFonts w:ascii="仿宋_GB2312" w:eastAsia="仿宋_GB2312" w:cs="仿宋_GB2312" w:hint="eastAsia"/>
          <w:color w:val="000000"/>
          <w:kern w:val="0"/>
          <w:sz w:val="32"/>
          <w:szCs w:val="32"/>
        </w:rPr>
        <w:t>的开展，提供研究设计和评价要点的建议，药品审评中心组织起草了</w:t>
      </w:r>
      <w:r>
        <w:rPr>
          <w:rFonts w:ascii="Times New Roman" w:eastAsia="仿宋_GB2312" w:hAnsi="Times New Roman" w:cs="Times New Roman" w:hint="eastAsia"/>
          <w:color w:val="000000"/>
          <w:sz w:val="32"/>
          <w:szCs w:val="32"/>
        </w:rPr>
        <w:t>《</w:t>
      </w:r>
      <w:r w:rsidR="006E1DAC">
        <w:rPr>
          <w:rFonts w:ascii="Times New Roman" w:eastAsia="仿宋_GB2312" w:hAnsi="Times New Roman" w:cs="Times New Roman" w:hint="eastAsia"/>
          <w:color w:val="000000"/>
          <w:sz w:val="32"/>
          <w:szCs w:val="32"/>
        </w:rPr>
        <w:t>氯雷他定</w:t>
      </w:r>
      <w:r>
        <w:rPr>
          <w:rFonts w:ascii="Times New Roman" w:eastAsia="仿宋_GB2312" w:hAnsi="Times New Roman" w:cs="Times New Roman" w:hint="eastAsia"/>
          <w:color w:val="000000"/>
          <w:sz w:val="32"/>
          <w:szCs w:val="32"/>
        </w:rPr>
        <w:t>片生物等效性研究指导原则》，以期为该品种的生物等效性研究的评价提供技术参考。</w:t>
      </w:r>
    </w:p>
    <w:p w:rsidR="004F4E34" w:rsidRDefault="004F4E34" w:rsidP="004F4E34">
      <w:pPr>
        <w:jc w:val="left"/>
        <w:rPr>
          <w:rFonts w:ascii="黑体" w:eastAsia="黑体" w:hAnsi="黑体" w:cs="Times New Roman"/>
          <w:sz w:val="32"/>
          <w:szCs w:val="32"/>
        </w:rPr>
      </w:pPr>
      <w:r>
        <w:rPr>
          <w:rFonts w:ascii="黑体" w:eastAsia="黑体" w:hAnsi="黑体" w:cs="Times New Roman" w:hint="eastAsia"/>
          <w:sz w:val="32"/>
          <w:szCs w:val="32"/>
        </w:rPr>
        <w:t>二、起草过程</w:t>
      </w:r>
    </w:p>
    <w:p w:rsidR="004F4E34" w:rsidRDefault="004F4E34" w:rsidP="004F4E34">
      <w:pPr>
        <w:adjustRightInd w:val="0"/>
        <w:snapToGrid w:val="0"/>
        <w:spacing w:line="360" w:lineRule="auto"/>
        <w:ind w:firstLineChars="196" w:firstLine="627"/>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本指导原则由统计与临床药理学部牵头，纳入了中心</w:t>
      </w:r>
      <w:r>
        <w:rPr>
          <w:rFonts w:ascii="Times New Roman" w:eastAsia="仿宋_GB2312" w:hAnsi="Times New Roman" w:cs="Times New Roman"/>
          <w:color w:val="000000"/>
          <w:kern w:val="0"/>
          <w:sz w:val="32"/>
          <w:szCs w:val="32"/>
        </w:rPr>
        <w:t>2022</w:t>
      </w:r>
      <w:r>
        <w:rPr>
          <w:rFonts w:ascii="Times New Roman" w:eastAsia="仿宋_GB2312" w:hAnsi="Times New Roman" w:cs="Times New Roman" w:hint="eastAsia"/>
          <w:color w:val="000000"/>
          <w:kern w:val="0"/>
          <w:sz w:val="32"/>
          <w:szCs w:val="32"/>
        </w:rPr>
        <w:t>年指导原则制修订计划。核心工作组成员经充分研究后，于</w:t>
      </w:r>
      <w:r>
        <w:rPr>
          <w:rFonts w:ascii="Times New Roman" w:eastAsia="仿宋_GB2312" w:hAnsi="Times New Roman" w:cs="Times New Roman"/>
          <w:color w:val="000000"/>
          <w:kern w:val="0"/>
          <w:sz w:val="32"/>
          <w:szCs w:val="32"/>
        </w:rPr>
        <w:t>2022</w:t>
      </w:r>
      <w:r>
        <w:rPr>
          <w:rFonts w:ascii="Times New Roman" w:eastAsia="仿宋_GB2312" w:hAnsi="Times New Roman" w:cs="Times New Roman" w:hint="eastAsia"/>
          <w:color w:val="000000"/>
          <w:kern w:val="0"/>
          <w:sz w:val="32"/>
          <w:szCs w:val="32"/>
        </w:rPr>
        <w:t>年</w:t>
      </w:r>
      <w:r w:rsidR="00804E7E">
        <w:rPr>
          <w:rFonts w:ascii="Times New Roman" w:eastAsia="仿宋_GB2312" w:hAnsi="Times New Roman" w:cs="Times New Roman"/>
          <w:color w:val="000000"/>
          <w:kern w:val="0"/>
          <w:sz w:val="32"/>
          <w:szCs w:val="32"/>
        </w:rPr>
        <w:t>4</w:t>
      </w:r>
      <w:r>
        <w:rPr>
          <w:rFonts w:ascii="Times New Roman" w:eastAsia="仿宋_GB2312" w:hAnsi="Times New Roman" w:cs="Times New Roman" w:hint="eastAsia"/>
          <w:color w:val="000000"/>
          <w:kern w:val="0"/>
          <w:sz w:val="32"/>
          <w:szCs w:val="32"/>
        </w:rPr>
        <w:t>月形成初稿并组织召开改稿会，充分征求参会</w:t>
      </w:r>
      <w:r>
        <w:rPr>
          <w:rFonts w:ascii="Times New Roman" w:eastAsia="仿宋_GB2312" w:hAnsi="Times New Roman" w:cs="Times New Roman" w:hint="eastAsia"/>
          <w:color w:val="000000"/>
          <w:kern w:val="0"/>
          <w:sz w:val="32"/>
          <w:szCs w:val="32"/>
        </w:rPr>
        <w:lastRenderedPageBreak/>
        <w:t>专家意见，结合中心内部反馈意见，形成征求意见稿。</w:t>
      </w:r>
    </w:p>
    <w:p w:rsidR="004F4E34" w:rsidRDefault="004F4E34" w:rsidP="004F4E34">
      <w:pPr>
        <w:jc w:val="left"/>
        <w:rPr>
          <w:rFonts w:ascii="黑体" w:eastAsia="黑体" w:hAnsi="黑体" w:cs="Times New Roman"/>
          <w:sz w:val="32"/>
          <w:szCs w:val="32"/>
        </w:rPr>
      </w:pPr>
      <w:r>
        <w:rPr>
          <w:rFonts w:ascii="黑体" w:eastAsia="黑体" w:hAnsi="黑体" w:cs="Times New Roman" w:hint="eastAsia"/>
          <w:sz w:val="32"/>
          <w:szCs w:val="32"/>
        </w:rPr>
        <w:t>三、主要内容与说明</w:t>
      </w:r>
    </w:p>
    <w:p w:rsidR="00206EBC" w:rsidRPr="001551B6" w:rsidRDefault="004F4E34" w:rsidP="001551B6">
      <w:pPr>
        <w:adjustRightInd w:val="0"/>
        <w:snapToGrid w:val="0"/>
        <w:spacing w:line="360" w:lineRule="auto"/>
        <w:ind w:firstLineChars="196" w:firstLine="627"/>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本指导原则旨在为</w:t>
      </w:r>
      <w:r w:rsidR="006E1DAC">
        <w:rPr>
          <w:rFonts w:ascii="Times New Roman" w:eastAsia="仿宋_GB2312" w:hAnsi="Times New Roman" w:cs="Times New Roman" w:hint="eastAsia"/>
          <w:color w:val="000000"/>
          <w:kern w:val="0"/>
          <w:sz w:val="32"/>
          <w:szCs w:val="32"/>
        </w:rPr>
        <w:t>氯雷他定</w:t>
      </w:r>
      <w:r>
        <w:rPr>
          <w:rFonts w:ascii="Times New Roman" w:eastAsia="仿宋_GB2312" w:hAnsi="Times New Roman" w:cs="Times New Roman" w:hint="eastAsia"/>
          <w:color w:val="000000"/>
          <w:kern w:val="0"/>
          <w:sz w:val="32"/>
          <w:szCs w:val="32"/>
        </w:rPr>
        <w:t>片生物等效性研究提供技术指导，主要内容包括研究类型、受试人群、给药剂量、给药方法、血样采集、检测物质、生物等效性评价等。</w:t>
      </w:r>
      <w:r w:rsidR="006E1DAC">
        <w:rPr>
          <w:rFonts w:ascii="Times New Roman" w:eastAsia="仿宋_GB2312" w:hAnsi="Times New Roman" w:cs="Times New Roman" w:hint="eastAsia"/>
          <w:color w:val="000000"/>
          <w:kern w:val="0"/>
          <w:sz w:val="32"/>
          <w:szCs w:val="32"/>
        </w:rPr>
        <w:t>氯雷他定</w:t>
      </w:r>
      <w:r>
        <w:rPr>
          <w:rFonts w:ascii="Times New Roman" w:eastAsia="仿宋_GB2312" w:hAnsi="Times New Roman" w:cs="Times New Roman" w:hint="eastAsia"/>
          <w:color w:val="000000"/>
          <w:kern w:val="0"/>
          <w:sz w:val="32"/>
          <w:szCs w:val="32"/>
        </w:rPr>
        <w:t>片生物等效性研究应符合本指导原则，还应参照《以药动学参数为终点评价指标的化学药物仿制药人体生物等效性研究技术指导原则》、</w:t>
      </w:r>
      <w:r w:rsidR="00B244EA" w:rsidRPr="00B244EA">
        <w:rPr>
          <w:rFonts w:ascii="Times New Roman" w:eastAsia="仿宋_GB2312" w:hAnsi="Times New Roman" w:cs="Times New Roman" w:hint="eastAsia"/>
          <w:color w:val="000000"/>
          <w:kern w:val="0"/>
          <w:sz w:val="32"/>
          <w:szCs w:val="32"/>
        </w:rPr>
        <w:t>《高变异药物生物等效性研究技术指导原则》</w:t>
      </w:r>
      <w:r w:rsidR="00B244EA">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hint="eastAsia"/>
          <w:color w:val="000000"/>
          <w:kern w:val="0"/>
          <w:sz w:val="32"/>
          <w:szCs w:val="32"/>
        </w:rPr>
        <w:t>《生物等效性研究的统计学指导原则》等相关指导原则</w:t>
      </w:r>
      <w:r w:rsidR="00B244EA">
        <w:rPr>
          <w:rFonts w:ascii="Times New Roman" w:eastAsia="仿宋_GB2312" w:hAnsi="Times New Roman" w:cs="Times New Roman" w:hint="eastAsia"/>
          <w:color w:val="000000"/>
          <w:kern w:val="0"/>
          <w:sz w:val="32"/>
          <w:szCs w:val="32"/>
        </w:rPr>
        <w:t>要求</w:t>
      </w:r>
      <w:r>
        <w:rPr>
          <w:rFonts w:ascii="Times New Roman" w:eastAsia="仿宋_GB2312" w:hAnsi="Times New Roman" w:cs="Times New Roman" w:hint="eastAsia"/>
          <w:color w:val="000000"/>
          <w:kern w:val="0"/>
          <w:sz w:val="32"/>
          <w:szCs w:val="32"/>
        </w:rPr>
        <w:t>。</w:t>
      </w:r>
    </w:p>
    <w:sectPr w:rsidR="00206EBC" w:rsidRPr="001551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5D8" w:rsidRDefault="004F05D8" w:rsidP="0015791F">
      <w:r>
        <w:separator/>
      </w:r>
    </w:p>
  </w:endnote>
  <w:endnote w:type="continuationSeparator" w:id="0">
    <w:p w:rsidR="004F05D8" w:rsidRDefault="004F05D8" w:rsidP="00157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5D8" w:rsidRDefault="004F05D8" w:rsidP="0015791F">
      <w:r>
        <w:separator/>
      </w:r>
    </w:p>
  </w:footnote>
  <w:footnote w:type="continuationSeparator" w:id="0">
    <w:p w:rsidR="004F05D8" w:rsidRDefault="004F05D8" w:rsidP="001579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E34"/>
    <w:rsid w:val="00076DFF"/>
    <w:rsid w:val="00083CAC"/>
    <w:rsid w:val="0009544F"/>
    <w:rsid w:val="000A1B85"/>
    <w:rsid w:val="000B10C4"/>
    <w:rsid w:val="000D781B"/>
    <w:rsid w:val="000F2A95"/>
    <w:rsid w:val="0011188C"/>
    <w:rsid w:val="00125314"/>
    <w:rsid w:val="00133E9B"/>
    <w:rsid w:val="00134ACE"/>
    <w:rsid w:val="00151DF0"/>
    <w:rsid w:val="001551B6"/>
    <w:rsid w:val="0015791F"/>
    <w:rsid w:val="0018025D"/>
    <w:rsid w:val="00192BED"/>
    <w:rsid w:val="001B22F2"/>
    <w:rsid w:val="001C2733"/>
    <w:rsid w:val="001C3843"/>
    <w:rsid w:val="001E1522"/>
    <w:rsid w:val="00203AA8"/>
    <w:rsid w:val="00206EBC"/>
    <w:rsid w:val="00206F9A"/>
    <w:rsid w:val="00223D37"/>
    <w:rsid w:val="002659B9"/>
    <w:rsid w:val="0028733D"/>
    <w:rsid w:val="00293998"/>
    <w:rsid w:val="002A0508"/>
    <w:rsid w:val="002A78B5"/>
    <w:rsid w:val="002E2D8F"/>
    <w:rsid w:val="002E37C6"/>
    <w:rsid w:val="0035326E"/>
    <w:rsid w:val="0036310E"/>
    <w:rsid w:val="003829DA"/>
    <w:rsid w:val="003A209F"/>
    <w:rsid w:val="003B6E8C"/>
    <w:rsid w:val="003E208F"/>
    <w:rsid w:val="003E3B28"/>
    <w:rsid w:val="00415EB9"/>
    <w:rsid w:val="00454756"/>
    <w:rsid w:val="00476DE6"/>
    <w:rsid w:val="004B5324"/>
    <w:rsid w:val="004C7CFC"/>
    <w:rsid w:val="004F05D8"/>
    <w:rsid w:val="004F4E34"/>
    <w:rsid w:val="005034CC"/>
    <w:rsid w:val="00515F7C"/>
    <w:rsid w:val="00532456"/>
    <w:rsid w:val="00554E53"/>
    <w:rsid w:val="005745B0"/>
    <w:rsid w:val="0057529D"/>
    <w:rsid w:val="005C44A1"/>
    <w:rsid w:val="005D2D49"/>
    <w:rsid w:val="005E3823"/>
    <w:rsid w:val="00600913"/>
    <w:rsid w:val="00621E83"/>
    <w:rsid w:val="00632DF9"/>
    <w:rsid w:val="00650424"/>
    <w:rsid w:val="006534F0"/>
    <w:rsid w:val="006826EA"/>
    <w:rsid w:val="00683821"/>
    <w:rsid w:val="006A5ACF"/>
    <w:rsid w:val="006B308F"/>
    <w:rsid w:val="006C6FF9"/>
    <w:rsid w:val="006D4674"/>
    <w:rsid w:val="006E1DAC"/>
    <w:rsid w:val="006F04A1"/>
    <w:rsid w:val="006F173B"/>
    <w:rsid w:val="00726DF8"/>
    <w:rsid w:val="00732808"/>
    <w:rsid w:val="00742655"/>
    <w:rsid w:val="00761186"/>
    <w:rsid w:val="00773721"/>
    <w:rsid w:val="007E4567"/>
    <w:rsid w:val="00804E7E"/>
    <w:rsid w:val="00811E75"/>
    <w:rsid w:val="008139B9"/>
    <w:rsid w:val="0084204E"/>
    <w:rsid w:val="008473A1"/>
    <w:rsid w:val="008766E7"/>
    <w:rsid w:val="008B0E8B"/>
    <w:rsid w:val="009235F6"/>
    <w:rsid w:val="00942849"/>
    <w:rsid w:val="00950330"/>
    <w:rsid w:val="009550E9"/>
    <w:rsid w:val="00975E7C"/>
    <w:rsid w:val="00993E02"/>
    <w:rsid w:val="009C4AD6"/>
    <w:rsid w:val="009C6621"/>
    <w:rsid w:val="009D3C87"/>
    <w:rsid w:val="009E4DB8"/>
    <w:rsid w:val="00A1094D"/>
    <w:rsid w:val="00A11041"/>
    <w:rsid w:val="00A41BBA"/>
    <w:rsid w:val="00A45DA6"/>
    <w:rsid w:val="00A53A69"/>
    <w:rsid w:val="00A83C41"/>
    <w:rsid w:val="00A961F1"/>
    <w:rsid w:val="00AB66A2"/>
    <w:rsid w:val="00AC7AF2"/>
    <w:rsid w:val="00AE0A6B"/>
    <w:rsid w:val="00AE6ADD"/>
    <w:rsid w:val="00B17269"/>
    <w:rsid w:val="00B2164D"/>
    <w:rsid w:val="00B244EA"/>
    <w:rsid w:val="00B25ED4"/>
    <w:rsid w:val="00B31081"/>
    <w:rsid w:val="00B33048"/>
    <w:rsid w:val="00B34C03"/>
    <w:rsid w:val="00BB4DFF"/>
    <w:rsid w:val="00BC04B3"/>
    <w:rsid w:val="00BC101A"/>
    <w:rsid w:val="00BC1A4D"/>
    <w:rsid w:val="00BC57F6"/>
    <w:rsid w:val="00BD1800"/>
    <w:rsid w:val="00BE6EE7"/>
    <w:rsid w:val="00C0165A"/>
    <w:rsid w:val="00C03ADE"/>
    <w:rsid w:val="00C206DD"/>
    <w:rsid w:val="00C21AF9"/>
    <w:rsid w:val="00C662DB"/>
    <w:rsid w:val="00C81779"/>
    <w:rsid w:val="00C8203A"/>
    <w:rsid w:val="00C84505"/>
    <w:rsid w:val="00CC4CFC"/>
    <w:rsid w:val="00CD1425"/>
    <w:rsid w:val="00D36300"/>
    <w:rsid w:val="00D57F14"/>
    <w:rsid w:val="00DC1E3C"/>
    <w:rsid w:val="00DD7486"/>
    <w:rsid w:val="00DE5626"/>
    <w:rsid w:val="00DE7B39"/>
    <w:rsid w:val="00DF45C0"/>
    <w:rsid w:val="00E506A0"/>
    <w:rsid w:val="00E534CC"/>
    <w:rsid w:val="00E64DDB"/>
    <w:rsid w:val="00E74608"/>
    <w:rsid w:val="00E76EF2"/>
    <w:rsid w:val="00E8429C"/>
    <w:rsid w:val="00E94F1C"/>
    <w:rsid w:val="00ED26B3"/>
    <w:rsid w:val="00EE2F59"/>
    <w:rsid w:val="00F02AA1"/>
    <w:rsid w:val="00F0649E"/>
    <w:rsid w:val="00F267E3"/>
    <w:rsid w:val="00F67433"/>
    <w:rsid w:val="00F77492"/>
    <w:rsid w:val="00F77857"/>
    <w:rsid w:val="00F87581"/>
    <w:rsid w:val="00FD69BD"/>
    <w:rsid w:val="00FE4706"/>
    <w:rsid w:val="00FF7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FFC5AE"/>
  <w15:chartTrackingRefBased/>
  <w15:docId w15:val="{5E03193F-A4FB-4819-9991-65CF110D7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4E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791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5791F"/>
    <w:rPr>
      <w:sz w:val="18"/>
      <w:szCs w:val="18"/>
    </w:rPr>
  </w:style>
  <w:style w:type="paragraph" w:styleId="a5">
    <w:name w:val="footer"/>
    <w:basedOn w:val="a"/>
    <w:link w:val="a6"/>
    <w:uiPriority w:val="99"/>
    <w:unhideWhenUsed/>
    <w:rsid w:val="0015791F"/>
    <w:pPr>
      <w:tabs>
        <w:tab w:val="center" w:pos="4153"/>
        <w:tab w:val="right" w:pos="8306"/>
      </w:tabs>
      <w:snapToGrid w:val="0"/>
      <w:jc w:val="left"/>
    </w:pPr>
    <w:rPr>
      <w:sz w:val="18"/>
      <w:szCs w:val="18"/>
    </w:rPr>
  </w:style>
  <w:style w:type="character" w:customStyle="1" w:styleId="a6">
    <w:name w:val="页脚 字符"/>
    <w:basedOn w:val="a0"/>
    <w:link w:val="a5"/>
    <w:uiPriority w:val="99"/>
    <w:rsid w:val="0015791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99</Words>
  <Characters>569</Characters>
  <Application>Microsoft Office Word</Application>
  <DocSecurity>0</DocSecurity>
  <Lines>4</Lines>
  <Paragraphs>1</Paragraphs>
  <ScaleCrop>false</ScaleCrop>
  <Company>Microsoft</Company>
  <LinksUpToDate>false</LinksUpToDate>
  <CharactersWithSpaces>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王静</dc:creator>
  <cp:keywords/>
  <dc:description/>
  <cp:lastModifiedBy>刘冬</cp:lastModifiedBy>
  <cp:revision>6</cp:revision>
  <dcterms:created xsi:type="dcterms:W3CDTF">2022-06-15T06:47:00Z</dcterms:created>
  <dcterms:modified xsi:type="dcterms:W3CDTF">2022-06-21T02:28:00Z</dcterms:modified>
</cp:coreProperties>
</file>