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7E0" w:rsidRDefault="00C417E0" w:rsidP="00C417E0">
      <w:pPr>
        <w:jc w:val="left"/>
        <w:rPr>
          <w:rFonts w:ascii="方正小标宋简体" w:eastAsia="方正小标宋简体" w:hAnsi="Calibri" w:cs="Times New Roman"/>
          <w:sz w:val="36"/>
          <w:szCs w:val="36"/>
        </w:rPr>
      </w:pPr>
      <w:bookmarkStart w:id="0" w:name="_GoBack"/>
      <w:bookmarkEnd w:id="0"/>
    </w:p>
    <w:p w:rsidR="00075F16" w:rsidRDefault="00652D4A" w:rsidP="00652D4A">
      <w:pPr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652D4A">
        <w:rPr>
          <w:rFonts w:ascii="方正小标宋简体" w:eastAsia="方正小标宋简体" w:hAnsi="Calibri" w:cs="Times New Roman" w:hint="eastAsia"/>
          <w:sz w:val="36"/>
          <w:szCs w:val="36"/>
        </w:rPr>
        <w:t>《托珠单抗注射液生物类似药临床试验指导原则（征求意见稿）》</w:t>
      </w:r>
      <w:r w:rsidR="00075F16" w:rsidRPr="00075F16">
        <w:rPr>
          <w:rFonts w:ascii="方正小标宋简体" w:eastAsia="方正小标宋简体" w:hAnsi="Calibri" w:cs="Times New Roman" w:hint="eastAsia"/>
          <w:sz w:val="36"/>
          <w:szCs w:val="36"/>
        </w:rPr>
        <w:t>起草说明</w:t>
      </w:r>
    </w:p>
    <w:p w:rsidR="00051C7E" w:rsidRPr="00652D4A" w:rsidRDefault="00051C7E" w:rsidP="00652D4A">
      <w:pPr>
        <w:jc w:val="center"/>
        <w:rPr>
          <w:rFonts w:ascii="方正小标宋简体" w:eastAsia="方正小标宋简体" w:hAnsi="Calibri" w:cs="Times New Roman"/>
          <w:sz w:val="36"/>
          <w:szCs w:val="36"/>
        </w:rPr>
      </w:pPr>
    </w:p>
    <w:p w:rsidR="00075F16" w:rsidRPr="00075F16" w:rsidRDefault="00075F16" w:rsidP="00075F16">
      <w:pPr>
        <w:ind w:firstLineChars="175" w:firstLine="560"/>
        <w:rPr>
          <w:rFonts w:ascii="仿宋" w:eastAsia="仿宋" w:hAnsi="仿宋" w:cs="Times New Roman"/>
          <w:color w:val="000000"/>
          <w:sz w:val="32"/>
          <w:szCs w:val="32"/>
        </w:rPr>
      </w:pPr>
      <w:r w:rsidRPr="00075F16">
        <w:rPr>
          <w:rFonts w:ascii="仿宋" w:eastAsia="仿宋" w:hAnsi="仿宋" w:cs="Times New Roman" w:hint="eastAsia"/>
          <w:color w:val="000000"/>
          <w:sz w:val="32"/>
          <w:szCs w:val="32"/>
        </w:rPr>
        <w:t>为</w:t>
      </w:r>
      <w:r w:rsidR="00A91D9A">
        <w:rPr>
          <w:rFonts w:ascii="仿宋" w:eastAsia="仿宋" w:hAnsi="仿宋" w:cs="Times New Roman" w:hint="eastAsia"/>
          <w:color w:val="000000"/>
          <w:sz w:val="32"/>
          <w:szCs w:val="32"/>
        </w:rPr>
        <w:t>鼓励</w:t>
      </w:r>
      <w:r w:rsidR="00A91D9A">
        <w:rPr>
          <w:rFonts w:ascii="仿宋" w:eastAsia="仿宋" w:hAnsi="仿宋" w:cs="Times New Roman"/>
          <w:color w:val="000000"/>
          <w:sz w:val="32"/>
          <w:szCs w:val="32"/>
        </w:rPr>
        <w:t>生物类似药研发，</w:t>
      </w:r>
      <w:r w:rsidRPr="00075F16">
        <w:rPr>
          <w:rFonts w:ascii="仿宋" w:eastAsia="仿宋" w:hAnsi="仿宋" w:cs="Times New Roman" w:hint="eastAsia"/>
          <w:color w:val="000000"/>
          <w:sz w:val="32"/>
          <w:szCs w:val="32"/>
        </w:rPr>
        <w:t>进一步规范和指导</w:t>
      </w:r>
      <w:r w:rsidR="00652D4A">
        <w:rPr>
          <w:rFonts w:ascii="仿宋" w:eastAsia="仿宋" w:hAnsi="仿宋" w:cs="Times New Roman" w:hint="eastAsia"/>
          <w:color w:val="000000"/>
          <w:sz w:val="32"/>
          <w:szCs w:val="32"/>
        </w:rPr>
        <w:t>托珠</w:t>
      </w:r>
      <w:r w:rsidR="00A91D9A" w:rsidRPr="00A91D9A">
        <w:rPr>
          <w:rFonts w:ascii="仿宋" w:eastAsia="仿宋" w:hAnsi="仿宋" w:cs="Times New Roman"/>
          <w:sz w:val="32"/>
          <w:szCs w:val="32"/>
        </w:rPr>
        <w:t>单抗生物类似物</w:t>
      </w:r>
      <w:r w:rsidRPr="00A91D9A">
        <w:rPr>
          <w:rFonts w:ascii="仿宋" w:eastAsia="仿宋" w:hAnsi="仿宋" w:cs="Times New Roman" w:hint="eastAsia"/>
          <w:sz w:val="32"/>
          <w:szCs w:val="32"/>
        </w:rPr>
        <w:t>的临床试验设计</w:t>
      </w:r>
      <w:r w:rsidRPr="00075F16">
        <w:rPr>
          <w:rFonts w:ascii="仿宋" w:eastAsia="仿宋" w:hAnsi="仿宋" w:cs="Times New Roman" w:hint="eastAsia"/>
          <w:color w:val="000000"/>
          <w:sz w:val="32"/>
          <w:szCs w:val="32"/>
        </w:rPr>
        <w:t>，提供可</w:t>
      </w:r>
      <w:r w:rsidR="00310DD1">
        <w:rPr>
          <w:rFonts w:ascii="仿宋" w:eastAsia="仿宋" w:hAnsi="仿宋" w:cs="Times New Roman" w:hint="eastAsia"/>
          <w:color w:val="000000"/>
          <w:sz w:val="32"/>
          <w:szCs w:val="32"/>
        </w:rPr>
        <w:t>参照</w:t>
      </w:r>
      <w:r w:rsidRPr="00075F16">
        <w:rPr>
          <w:rFonts w:ascii="仿宋" w:eastAsia="仿宋" w:hAnsi="仿宋" w:cs="Times New Roman" w:hint="eastAsia"/>
          <w:color w:val="000000"/>
          <w:sz w:val="32"/>
          <w:szCs w:val="32"/>
        </w:rPr>
        <w:t>的</w:t>
      </w:r>
      <w:r w:rsidR="00051C7E">
        <w:rPr>
          <w:rFonts w:ascii="仿宋" w:eastAsia="仿宋" w:hAnsi="仿宋" w:cs="Times New Roman" w:hint="eastAsia"/>
          <w:color w:val="000000"/>
          <w:sz w:val="32"/>
          <w:szCs w:val="32"/>
        </w:rPr>
        <w:t>公开</w:t>
      </w:r>
      <w:r w:rsidRPr="00075F16">
        <w:rPr>
          <w:rFonts w:ascii="仿宋" w:eastAsia="仿宋" w:hAnsi="仿宋" w:cs="Times New Roman" w:hint="eastAsia"/>
          <w:color w:val="000000"/>
          <w:sz w:val="32"/>
          <w:szCs w:val="32"/>
        </w:rPr>
        <w:t>技术</w:t>
      </w:r>
      <w:r w:rsidR="00051C7E">
        <w:rPr>
          <w:rFonts w:ascii="仿宋" w:eastAsia="仿宋" w:hAnsi="仿宋" w:cs="Times New Roman" w:hint="eastAsia"/>
          <w:color w:val="000000"/>
          <w:sz w:val="32"/>
          <w:szCs w:val="32"/>
        </w:rPr>
        <w:t>要求</w:t>
      </w:r>
      <w:r w:rsidRPr="00075F16">
        <w:rPr>
          <w:rFonts w:ascii="仿宋" w:eastAsia="仿宋" w:hAnsi="仿宋" w:cs="Times New Roman" w:hint="eastAsia"/>
          <w:color w:val="000000"/>
          <w:sz w:val="32"/>
          <w:szCs w:val="32"/>
        </w:rPr>
        <w:t>，药品审评中心组织起草了</w:t>
      </w:r>
      <w:r w:rsidR="00310DD1" w:rsidRPr="00310DD1">
        <w:rPr>
          <w:rFonts w:ascii="仿宋" w:eastAsia="仿宋" w:hAnsi="仿宋" w:cs="Times New Roman" w:hint="eastAsia"/>
          <w:color w:val="000000"/>
          <w:sz w:val="32"/>
          <w:szCs w:val="32"/>
        </w:rPr>
        <w:t>托珠单抗注射液生物类似药临床试验指导原则（征求意见稿）</w:t>
      </w:r>
      <w:r w:rsidRPr="00075F16">
        <w:rPr>
          <w:rFonts w:ascii="仿宋" w:eastAsia="仿宋" w:hAnsi="仿宋" w:cs="Times New Roman" w:hint="eastAsia"/>
          <w:color w:val="000000"/>
          <w:sz w:val="32"/>
          <w:szCs w:val="32"/>
        </w:rPr>
        <w:t>。现将有关情况说明如下：</w:t>
      </w:r>
    </w:p>
    <w:p w:rsidR="00075F16" w:rsidRPr="00075F16" w:rsidRDefault="00075F16" w:rsidP="00075F16">
      <w:pPr>
        <w:ind w:firstLineChars="196" w:firstLine="630"/>
        <w:rPr>
          <w:rFonts w:ascii="仿宋" w:eastAsia="仿宋" w:hAnsi="仿宋" w:cs="Times New Roman"/>
          <w:b/>
          <w:color w:val="000000"/>
          <w:sz w:val="32"/>
          <w:szCs w:val="32"/>
        </w:rPr>
      </w:pPr>
      <w:r w:rsidRPr="00075F16">
        <w:rPr>
          <w:rFonts w:ascii="仿宋" w:eastAsia="仿宋" w:hAnsi="仿宋" w:cs="Times New Roman" w:hint="eastAsia"/>
          <w:b/>
          <w:color w:val="000000"/>
          <w:sz w:val="32"/>
          <w:szCs w:val="32"/>
        </w:rPr>
        <w:t>一、背景和目的</w:t>
      </w:r>
    </w:p>
    <w:p w:rsidR="00310DD1" w:rsidRPr="00310DD1" w:rsidRDefault="00310DD1" w:rsidP="00310DD1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310DD1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托珠单抗注射液（</w:t>
      </w:r>
      <w:r w:rsidRPr="00310DD1">
        <w:rPr>
          <w:rFonts w:ascii="Times New Roman" w:eastAsia="仿宋" w:hAnsi="Times New Roman" w:cs="Times New Roman"/>
          <w:color w:val="000000"/>
          <w:sz w:val="32"/>
          <w:szCs w:val="32"/>
        </w:rPr>
        <w:t>Tocilizumab</w:t>
      </w:r>
      <w:r w:rsidRPr="00310DD1">
        <w:rPr>
          <w:rFonts w:ascii="Times New Roman" w:eastAsia="仿宋" w:hAnsi="Times New Roman" w:cs="Times New Roman"/>
          <w:color w:val="000000"/>
          <w:sz w:val="32"/>
          <w:szCs w:val="32"/>
        </w:rPr>
        <w:t>）由罗氏公司研发，采用哺乳动物细胞（</w:t>
      </w:r>
      <w:r w:rsidRPr="00310DD1">
        <w:rPr>
          <w:rFonts w:ascii="Times New Roman" w:eastAsia="仿宋" w:hAnsi="Times New Roman" w:cs="Times New Roman"/>
          <w:color w:val="000000"/>
          <w:sz w:val="32"/>
          <w:szCs w:val="32"/>
        </w:rPr>
        <w:t>CHO</w:t>
      </w:r>
      <w:r w:rsidRPr="00310DD1">
        <w:rPr>
          <w:rFonts w:ascii="Times New Roman" w:eastAsia="仿宋" w:hAnsi="Times New Roman" w:cs="Times New Roman"/>
          <w:color w:val="000000"/>
          <w:sz w:val="32"/>
          <w:szCs w:val="32"/>
        </w:rPr>
        <w:t>）表达的抗人白介素</w:t>
      </w:r>
      <w:r w:rsidRPr="00310DD1">
        <w:rPr>
          <w:rFonts w:ascii="Times New Roman" w:eastAsia="仿宋" w:hAnsi="Times New Roman" w:cs="Times New Roman"/>
          <w:color w:val="000000"/>
          <w:sz w:val="32"/>
          <w:szCs w:val="32"/>
        </w:rPr>
        <w:t>6</w:t>
      </w:r>
      <w:r w:rsidRPr="00310DD1">
        <w:rPr>
          <w:rFonts w:ascii="Times New Roman" w:eastAsia="仿宋" w:hAnsi="Times New Roman" w:cs="Times New Roman"/>
          <w:color w:val="000000"/>
          <w:sz w:val="32"/>
          <w:szCs w:val="32"/>
        </w:rPr>
        <w:t>受体单克隆抗体制剂，通过阻断白介素</w:t>
      </w:r>
      <w:r w:rsidRPr="00310DD1">
        <w:rPr>
          <w:rFonts w:ascii="Times New Roman" w:eastAsia="仿宋" w:hAnsi="Times New Roman" w:cs="Times New Roman"/>
          <w:color w:val="000000"/>
          <w:sz w:val="32"/>
          <w:szCs w:val="32"/>
        </w:rPr>
        <w:t>6</w:t>
      </w:r>
      <w:r w:rsidRPr="00310DD1">
        <w:rPr>
          <w:rFonts w:ascii="Times New Roman" w:eastAsia="仿宋" w:hAnsi="Times New Roman" w:cs="Times New Roman"/>
          <w:color w:val="000000"/>
          <w:sz w:val="32"/>
          <w:szCs w:val="32"/>
        </w:rPr>
        <w:t>与可溶性</w:t>
      </w:r>
      <w:r w:rsidR="00535DE1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及</w:t>
      </w:r>
      <w:r w:rsidRPr="00310DD1">
        <w:rPr>
          <w:rFonts w:ascii="Times New Roman" w:eastAsia="仿宋" w:hAnsi="Times New Roman" w:cs="Times New Roman"/>
          <w:color w:val="000000"/>
          <w:sz w:val="32"/>
          <w:szCs w:val="32"/>
        </w:rPr>
        <w:t>膜结合的白介素</w:t>
      </w:r>
      <w:r w:rsidRPr="00310DD1">
        <w:rPr>
          <w:rFonts w:ascii="Times New Roman" w:eastAsia="仿宋" w:hAnsi="Times New Roman" w:cs="Times New Roman"/>
          <w:color w:val="000000"/>
          <w:sz w:val="32"/>
          <w:szCs w:val="32"/>
        </w:rPr>
        <w:t>6</w:t>
      </w:r>
      <w:r w:rsidRPr="00310DD1">
        <w:rPr>
          <w:rFonts w:ascii="Times New Roman" w:eastAsia="仿宋" w:hAnsi="Times New Roman" w:cs="Times New Roman"/>
          <w:color w:val="000000"/>
          <w:sz w:val="32"/>
          <w:szCs w:val="32"/>
        </w:rPr>
        <w:t>受体结合，抑制白介素</w:t>
      </w:r>
      <w:r w:rsidRPr="00310DD1">
        <w:rPr>
          <w:rFonts w:ascii="Times New Roman" w:eastAsia="仿宋" w:hAnsi="Times New Roman" w:cs="Times New Roman"/>
          <w:color w:val="000000"/>
          <w:sz w:val="32"/>
          <w:szCs w:val="32"/>
        </w:rPr>
        <w:t>6</w:t>
      </w:r>
      <w:r w:rsidRPr="00310DD1">
        <w:rPr>
          <w:rFonts w:ascii="Times New Roman" w:eastAsia="仿宋" w:hAnsi="Times New Roman" w:cs="Times New Roman"/>
          <w:color w:val="000000"/>
          <w:sz w:val="32"/>
          <w:szCs w:val="32"/>
        </w:rPr>
        <w:t>的信号转导，从而减少病理性炎症反应。</w:t>
      </w:r>
      <w:r w:rsidRPr="00310DD1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目前，托珠单抗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原研品已</w:t>
      </w:r>
      <w:r w:rsidRPr="00310DD1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在国内获批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上市</w:t>
      </w:r>
      <w:r w:rsidRPr="00310DD1">
        <w:rPr>
          <w:rFonts w:ascii="Times New Roman" w:eastAsia="仿宋" w:hAnsi="Times New Roman" w:cs="Times New Roman"/>
          <w:color w:val="000000"/>
          <w:sz w:val="32"/>
          <w:szCs w:val="32"/>
        </w:rPr>
        <w:t>。</w:t>
      </w:r>
      <w:r w:rsidRPr="004A5665">
        <w:rPr>
          <w:rFonts w:ascii="Times New Roman" w:eastAsia="仿宋" w:hAnsi="Times New Roman" w:cs="Times New Roman"/>
          <w:color w:val="000000"/>
          <w:sz w:val="32"/>
          <w:szCs w:val="32"/>
        </w:rPr>
        <w:t>目前国内外尚无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托珠</w:t>
      </w:r>
      <w:r w:rsidRPr="004A5665">
        <w:rPr>
          <w:rFonts w:ascii="Times New Roman" w:eastAsia="仿宋" w:hAnsi="Times New Roman" w:cs="Times New Roman"/>
          <w:color w:val="000000"/>
          <w:sz w:val="32"/>
          <w:szCs w:val="32"/>
        </w:rPr>
        <w:t>单抗生物类似物获批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上市</w:t>
      </w:r>
      <w:r w:rsidRPr="004A5665">
        <w:rPr>
          <w:rFonts w:ascii="Times New Roman" w:eastAsia="仿宋" w:hAnsi="Times New Roman" w:cs="Times New Roman"/>
          <w:color w:val="000000"/>
          <w:sz w:val="32"/>
          <w:szCs w:val="32"/>
        </w:rPr>
        <w:t>，国外也无可参考的单品种指导原则。国内多家制药企业均在开展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托珠</w:t>
      </w:r>
      <w:r w:rsidRPr="004A5665">
        <w:rPr>
          <w:rFonts w:ascii="Times New Roman" w:eastAsia="仿宋" w:hAnsi="Times New Roman" w:cs="Times New Roman"/>
          <w:color w:val="000000"/>
          <w:sz w:val="32"/>
          <w:szCs w:val="32"/>
        </w:rPr>
        <w:t>单抗生物类似药的研发，因此现阶段需明确和统一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国内托珠</w:t>
      </w:r>
      <w:r w:rsidRPr="004A5665">
        <w:rPr>
          <w:rFonts w:ascii="Times New Roman" w:eastAsia="仿宋" w:hAnsi="Times New Roman" w:cs="Times New Roman"/>
          <w:color w:val="000000"/>
          <w:sz w:val="32"/>
          <w:szCs w:val="32"/>
        </w:rPr>
        <w:t>单抗生物类似药临床试验要求。药品审评中心组织起草了《</w:t>
      </w:r>
      <w:r w:rsidRPr="00310DD1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托珠单抗注射液生物类似药临床试验指导原则（征求意见稿）</w:t>
      </w:r>
      <w:r w:rsidRPr="004A5665">
        <w:rPr>
          <w:rFonts w:ascii="Times New Roman" w:eastAsia="仿宋" w:hAnsi="Times New Roman" w:cs="Times New Roman"/>
          <w:color w:val="000000"/>
          <w:sz w:val="32"/>
          <w:szCs w:val="32"/>
        </w:rPr>
        <w:t>》。</w:t>
      </w:r>
    </w:p>
    <w:p w:rsidR="00075F16" w:rsidRPr="00075F16" w:rsidRDefault="00075F16" w:rsidP="00075F16">
      <w:pPr>
        <w:numPr>
          <w:ilvl w:val="0"/>
          <w:numId w:val="1"/>
        </w:numPr>
        <w:ind w:firstLineChars="200" w:firstLine="643"/>
        <w:rPr>
          <w:rFonts w:ascii="仿宋" w:eastAsia="仿宋" w:hAnsi="仿宋" w:cs="Times New Roman"/>
          <w:b/>
          <w:color w:val="000000"/>
          <w:sz w:val="32"/>
          <w:szCs w:val="32"/>
        </w:rPr>
      </w:pPr>
      <w:r w:rsidRPr="00075F16">
        <w:rPr>
          <w:rFonts w:ascii="仿宋" w:eastAsia="仿宋" w:hAnsi="仿宋" w:cs="Times New Roman" w:hint="eastAsia"/>
          <w:b/>
          <w:color w:val="000000"/>
          <w:sz w:val="32"/>
          <w:szCs w:val="32"/>
        </w:rPr>
        <w:t>起草过程</w:t>
      </w:r>
    </w:p>
    <w:p w:rsidR="00075F16" w:rsidRPr="002913B6" w:rsidRDefault="00C52A5B" w:rsidP="00075F1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2913B6">
        <w:rPr>
          <w:rFonts w:ascii="Times New Roman" w:eastAsia="仿宋" w:hAnsi="Times New Roman" w:cs="Times New Roman"/>
          <w:color w:val="000000"/>
          <w:sz w:val="32"/>
          <w:szCs w:val="32"/>
        </w:rPr>
        <w:t>本指导原则由化药临床一部牵头，统计与临床药理学部参与撰写。</w:t>
      </w:r>
      <w:r w:rsidR="00075F16" w:rsidRPr="002913B6">
        <w:rPr>
          <w:rFonts w:ascii="Times New Roman" w:eastAsia="仿宋" w:hAnsi="Times New Roman" w:cs="Times New Roman"/>
          <w:color w:val="000000"/>
          <w:sz w:val="32"/>
          <w:szCs w:val="32"/>
        </w:rPr>
        <w:t>本项工作自</w:t>
      </w:r>
      <w:r w:rsidR="00075F16" w:rsidRPr="002913B6">
        <w:rPr>
          <w:rFonts w:ascii="Times New Roman" w:eastAsia="仿宋" w:hAnsi="Times New Roman" w:cs="Times New Roman"/>
          <w:color w:val="000000"/>
          <w:sz w:val="32"/>
          <w:szCs w:val="32"/>
        </w:rPr>
        <w:t>20</w:t>
      </w:r>
      <w:r w:rsidR="00EF54D1" w:rsidRPr="002913B6">
        <w:rPr>
          <w:rFonts w:ascii="Times New Roman" w:eastAsia="仿宋" w:hAnsi="Times New Roman" w:cs="Times New Roman"/>
          <w:color w:val="000000"/>
          <w:sz w:val="32"/>
          <w:szCs w:val="32"/>
        </w:rPr>
        <w:t>20</w:t>
      </w:r>
      <w:r w:rsidR="00075F16" w:rsidRPr="002913B6">
        <w:rPr>
          <w:rFonts w:ascii="Times New Roman" w:eastAsia="仿宋" w:hAnsi="Times New Roman" w:cs="Times New Roman"/>
          <w:color w:val="000000"/>
          <w:sz w:val="32"/>
          <w:szCs w:val="32"/>
        </w:rPr>
        <w:t>年</w:t>
      </w:r>
      <w:r w:rsidR="00EF54D1" w:rsidRPr="002913B6">
        <w:rPr>
          <w:rFonts w:ascii="Times New Roman" w:eastAsia="仿宋" w:hAnsi="Times New Roman" w:cs="Times New Roman"/>
          <w:color w:val="000000"/>
          <w:sz w:val="32"/>
          <w:szCs w:val="32"/>
        </w:rPr>
        <w:t>2</w:t>
      </w:r>
      <w:r w:rsidRPr="002913B6">
        <w:rPr>
          <w:rFonts w:ascii="Times New Roman" w:eastAsia="仿宋" w:hAnsi="Times New Roman" w:cs="Times New Roman"/>
          <w:color w:val="000000"/>
          <w:sz w:val="32"/>
          <w:szCs w:val="32"/>
        </w:rPr>
        <w:t>月</w:t>
      </w:r>
      <w:r w:rsidR="00075F16" w:rsidRPr="002913B6">
        <w:rPr>
          <w:rFonts w:ascii="Times New Roman" w:eastAsia="仿宋" w:hAnsi="Times New Roman" w:cs="Times New Roman"/>
          <w:color w:val="000000"/>
          <w:sz w:val="32"/>
          <w:szCs w:val="32"/>
        </w:rPr>
        <w:t>启动，</w:t>
      </w:r>
      <w:r w:rsidRPr="002913B6">
        <w:rPr>
          <w:rFonts w:ascii="Times New Roman" w:eastAsia="仿宋" w:hAnsi="Times New Roman" w:cs="Times New Roman"/>
          <w:color w:val="000000"/>
          <w:sz w:val="32"/>
          <w:szCs w:val="32"/>
        </w:rPr>
        <w:t>2020</w:t>
      </w:r>
      <w:r w:rsidRPr="002913B6">
        <w:rPr>
          <w:rFonts w:ascii="Times New Roman" w:eastAsia="仿宋" w:hAnsi="Times New Roman" w:cs="Times New Roman"/>
          <w:color w:val="000000"/>
          <w:sz w:val="32"/>
          <w:szCs w:val="32"/>
        </w:rPr>
        <w:t>年</w:t>
      </w:r>
      <w:r w:rsidR="002913B6" w:rsidRPr="002913B6">
        <w:rPr>
          <w:rFonts w:ascii="Times New Roman" w:eastAsia="仿宋" w:hAnsi="Times New Roman" w:cs="Times New Roman"/>
          <w:color w:val="000000"/>
          <w:sz w:val="32"/>
          <w:szCs w:val="32"/>
        </w:rPr>
        <w:t>4</w:t>
      </w:r>
      <w:r w:rsidRPr="002913B6">
        <w:rPr>
          <w:rFonts w:ascii="Times New Roman" w:eastAsia="仿宋" w:hAnsi="Times New Roman" w:cs="Times New Roman"/>
          <w:color w:val="000000"/>
          <w:sz w:val="32"/>
          <w:szCs w:val="32"/>
        </w:rPr>
        <w:t>月形成初稿</w:t>
      </w:r>
      <w:r w:rsidR="00075F16" w:rsidRPr="002913B6">
        <w:rPr>
          <w:rFonts w:ascii="Times New Roman" w:eastAsia="仿宋" w:hAnsi="Times New Roman" w:cs="Times New Roman"/>
          <w:color w:val="000000"/>
          <w:sz w:val="32"/>
          <w:szCs w:val="32"/>
        </w:rPr>
        <w:t>，</w:t>
      </w:r>
      <w:r w:rsidR="002913B6">
        <w:rPr>
          <w:rFonts w:ascii="Times New Roman" w:eastAsia="仿宋" w:hAnsi="Times New Roman" w:cs="Times New Roman" w:hint="eastAsia"/>
          <w:color w:val="000000"/>
          <w:sz w:val="32"/>
          <w:szCs w:val="32"/>
        </w:rPr>
        <w:lastRenderedPageBreak/>
        <w:t>并根据</w:t>
      </w:r>
      <w:r w:rsidRPr="002913B6">
        <w:rPr>
          <w:rFonts w:ascii="Times New Roman" w:eastAsia="仿宋" w:hAnsi="Times New Roman" w:cs="Times New Roman"/>
          <w:color w:val="000000"/>
          <w:sz w:val="32"/>
          <w:szCs w:val="32"/>
        </w:rPr>
        <w:t>药审中心内部相关专业</w:t>
      </w:r>
      <w:r w:rsidR="002913B6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的反馈</w:t>
      </w:r>
      <w:r w:rsidRPr="002913B6">
        <w:rPr>
          <w:rFonts w:ascii="Times New Roman" w:eastAsia="仿宋" w:hAnsi="Times New Roman" w:cs="Times New Roman"/>
          <w:color w:val="000000"/>
          <w:sz w:val="32"/>
          <w:szCs w:val="32"/>
        </w:rPr>
        <w:t>意见</w:t>
      </w:r>
      <w:r w:rsidR="002913B6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进行了修订</w:t>
      </w:r>
      <w:r w:rsidRPr="002913B6">
        <w:rPr>
          <w:rFonts w:ascii="Times New Roman" w:eastAsia="仿宋" w:hAnsi="Times New Roman" w:cs="Times New Roman"/>
          <w:color w:val="000000"/>
          <w:sz w:val="32"/>
          <w:szCs w:val="32"/>
        </w:rPr>
        <w:t>，</w:t>
      </w:r>
      <w:r w:rsidR="00075F16" w:rsidRPr="002913B6">
        <w:rPr>
          <w:rFonts w:ascii="Times New Roman" w:eastAsia="仿宋" w:hAnsi="Times New Roman" w:cs="Times New Roman"/>
          <w:color w:val="000000"/>
          <w:sz w:val="32"/>
          <w:szCs w:val="32"/>
        </w:rPr>
        <w:t>形成</w:t>
      </w:r>
      <w:r w:rsidR="002913B6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本次</w:t>
      </w:r>
      <w:r w:rsidR="00075F16" w:rsidRPr="002913B6">
        <w:rPr>
          <w:rFonts w:ascii="Times New Roman" w:eastAsia="仿宋" w:hAnsi="Times New Roman" w:cs="Times New Roman"/>
          <w:color w:val="000000"/>
          <w:sz w:val="32"/>
          <w:szCs w:val="32"/>
        </w:rPr>
        <w:t>征求意见稿。</w:t>
      </w:r>
    </w:p>
    <w:p w:rsidR="00075F16" w:rsidRPr="00075F16" w:rsidRDefault="00075F16" w:rsidP="00075F16">
      <w:pPr>
        <w:ind w:firstLineChars="196" w:firstLine="630"/>
        <w:rPr>
          <w:rFonts w:ascii="仿宋" w:eastAsia="仿宋" w:hAnsi="仿宋" w:cs="Times New Roman"/>
          <w:b/>
          <w:color w:val="000000"/>
          <w:sz w:val="32"/>
          <w:szCs w:val="32"/>
        </w:rPr>
      </w:pPr>
      <w:r w:rsidRPr="00075F16">
        <w:rPr>
          <w:rFonts w:ascii="仿宋" w:eastAsia="仿宋" w:hAnsi="仿宋" w:cs="Times New Roman" w:hint="eastAsia"/>
          <w:b/>
          <w:color w:val="000000"/>
          <w:sz w:val="32"/>
          <w:szCs w:val="32"/>
        </w:rPr>
        <w:t>三、主要内容与说明</w:t>
      </w:r>
    </w:p>
    <w:p w:rsidR="00075F16" w:rsidRPr="002913B6" w:rsidRDefault="00075F16" w:rsidP="00075F16">
      <w:pPr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2913B6">
        <w:rPr>
          <w:rFonts w:ascii="Times New Roman" w:eastAsia="仿宋" w:hAnsi="Times New Roman" w:cs="Times New Roman"/>
          <w:color w:val="000000"/>
          <w:sz w:val="32"/>
          <w:szCs w:val="32"/>
        </w:rPr>
        <w:t>本指导原则对</w:t>
      </w:r>
      <w:r w:rsidR="002913B6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托珠</w:t>
      </w:r>
      <w:r w:rsidR="00EF54D1" w:rsidRPr="002913B6">
        <w:rPr>
          <w:rFonts w:ascii="Times New Roman" w:eastAsia="仿宋" w:hAnsi="Times New Roman" w:cs="Times New Roman"/>
          <w:color w:val="000000"/>
          <w:sz w:val="32"/>
          <w:szCs w:val="32"/>
        </w:rPr>
        <w:t>单抗注射液生物类似药</w:t>
      </w:r>
      <w:r w:rsidR="00E932DD" w:rsidRPr="002913B6">
        <w:rPr>
          <w:rFonts w:ascii="Times New Roman" w:eastAsia="仿宋" w:hAnsi="Times New Roman" w:cs="Times New Roman"/>
          <w:color w:val="000000"/>
          <w:sz w:val="32"/>
          <w:szCs w:val="32"/>
        </w:rPr>
        <w:t>的</w:t>
      </w:r>
      <w:r w:rsidRPr="002913B6">
        <w:rPr>
          <w:rFonts w:ascii="Times New Roman" w:eastAsia="仿宋" w:hAnsi="Times New Roman" w:cs="Times New Roman"/>
          <w:color w:val="000000"/>
          <w:sz w:val="32"/>
          <w:szCs w:val="32"/>
        </w:rPr>
        <w:t>临床试验设计</w:t>
      </w:r>
      <w:r w:rsidR="00E932DD" w:rsidRPr="002913B6">
        <w:rPr>
          <w:rFonts w:ascii="Times New Roman" w:eastAsia="仿宋" w:hAnsi="Times New Roman" w:cs="Times New Roman"/>
          <w:color w:val="000000"/>
          <w:sz w:val="32"/>
          <w:szCs w:val="32"/>
        </w:rPr>
        <w:t>、</w:t>
      </w:r>
      <w:r w:rsidRPr="002913B6">
        <w:rPr>
          <w:rFonts w:ascii="Times New Roman" w:eastAsia="仿宋" w:hAnsi="Times New Roman" w:cs="Times New Roman"/>
          <w:color w:val="000000"/>
          <w:sz w:val="32"/>
          <w:szCs w:val="32"/>
        </w:rPr>
        <w:t>终点选择</w:t>
      </w:r>
      <w:r w:rsidR="00E932DD" w:rsidRPr="002913B6">
        <w:rPr>
          <w:rFonts w:ascii="Times New Roman" w:eastAsia="仿宋" w:hAnsi="Times New Roman" w:cs="Times New Roman"/>
          <w:color w:val="000000"/>
          <w:sz w:val="32"/>
          <w:szCs w:val="32"/>
        </w:rPr>
        <w:t>和等效性界值</w:t>
      </w:r>
      <w:r w:rsidRPr="002913B6">
        <w:rPr>
          <w:rFonts w:ascii="Times New Roman" w:eastAsia="仿宋" w:hAnsi="Times New Roman" w:cs="Times New Roman"/>
          <w:color w:val="000000"/>
          <w:sz w:val="32"/>
          <w:szCs w:val="32"/>
        </w:rPr>
        <w:t>提出建议。主要有以下部分</w:t>
      </w:r>
      <w:r w:rsidR="00EF54D1" w:rsidRPr="002913B6">
        <w:rPr>
          <w:rFonts w:ascii="Times New Roman" w:eastAsia="仿宋" w:hAnsi="Times New Roman" w:cs="Times New Roman"/>
          <w:color w:val="000000"/>
          <w:sz w:val="32"/>
          <w:szCs w:val="32"/>
        </w:rPr>
        <w:t>：</w:t>
      </w:r>
    </w:p>
    <w:p w:rsidR="00075F16" w:rsidRPr="002913B6" w:rsidRDefault="00075F16" w:rsidP="00075F16">
      <w:pPr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2913B6">
        <w:rPr>
          <w:rFonts w:ascii="Times New Roman" w:eastAsia="仿宋" w:hAnsi="Times New Roman" w:cs="Times New Roman"/>
          <w:color w:val="000000"/>
          <w:sz w:val="32"/>
          <w:szCs w:val="32"/>
        </w:rPr>
        <w:t>在</w:t>
      </w:r>
      <w:r w:rsidRPr="002913B6">
        <w:rPr>
          <w:rFonts w:ascii="Times New Roman" w:eastAsia="仿宋" w:hAnsi="Times New Roman" w:cs="Times New Roman"/>
          <w:color w:val="000000"/>
          <w:sz w:val="32"/>
          <w:szCs w:val="32"/>
        </w:rPr>
        <w:t>“</w:t>
      </w:r>
      <w:r w:rsidR="00D47D7F" w:rsidRPr="002913B6">
        <w:rPr>
          <w:rFonts w:ascii="Times New Roman" w:eastAsia="仿宋" w:hAnsi="Times New Roman" w:cs="Times New Roman"/>
          <w:color w:val="000000"/>
          <w:sz w:val="32"/>
          <w:szCs w:val="32"/>
        </w:rPr>
        <w:t>概述</w:t>
      </w:r>
      <w:r w:rsidRPr="002913B6">
        <w:rPr>
          <w:rFonts w:ascii="Times New Roman" w:eastAsia="仿宋" w:hAnsi="Times New Roman" w:cs="Times New Roman"/>
          <w:color w:val="000000"/>
          <w:sz w:val="32"/>
          <w:szCs w:val="32"/>
        </w:rPr>
        <w:t>”</w:t>
      </w:r>
      <w:r w:rsidRPr="002913B6">
        <w:rPr>
          <w:rFonts w:ascii="Times New Roman" w:eastAsia="仿宋" w:hAnsi="Times New Roman" w:cs="Times New Roman"/>
          <w:color w:val="000000"/>
          <w:sz w:val="32"/>
          <w:szCs w:val="32"/>
        </w:rPr>
        <w:t>部分，介绍了</w:t>
      </w:r>
      <w:r w:rsidR="00D47D7F" w:rsidRPr="002913B6">
        <w:rPr>
          <w:rFonts w:ascii="Times New Roman" w:eastAsia="仿宋" w:hAnsi="Times New Roman" w:cs="Times New Roman"/>
          <w:color w:val="000000"/>
          <w:sz w:val="32"/>
          <w:szCs w:val="32"/>
        </w:rPr>
        <w:t>原研品的上市情况及</w:t>
      </w:r>
      <w:r w:rsidRPr="002913B6">
        <w:rPr>
          <w:rFonts w:ascii="Times New Roman" w:eastAsia="仿宋" w:hAnsi="Times New Roman" w:cs="Times New Roman"/>
          <w:color w:val="000000"/>
          <w:sz w:val="32"/>
          <w:szCs w:val="32"/>
        </w:rPr>
        <w:t>本指导原则的适用范围及撰写目的。</w:t>
      </w:r>
    </w:p>
    <w:p w:rsidR="00075F16" w:rsidRPr="002913B6" w:rsidRDefault="00075F16" w:rsidP="00075F16">
      <w:pPr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2913B6">
        <w:rPr>
          <w:rFonts w:ascii="Times New Roman" w:eastAsia="仿宋" w:hAnsi="Times New Roman" w:cs="Times New Roman"/>
          <w:color w:val="000000"/>
          <w:sz w:val="32"/>
          <w:szCs w:val="32"/>
        </w:rPr>
        <w:t>在</w:t>
      </w:r>
      <w:r w:rsidRPr="002913B6">
        <w:rPr>
          <w:rFonts w:ascii="Times New Roman" w:eastAsia="仿宋" w:hAnsi="Times New Roman" w:cs="Times New Roman"/>
          <w:color w:val="000000"/>
          <w:sz w:val="32"/>
          <w:szCs w:val="32"/>
        </w:rPr>
        <w:t>“</w:t>
      </w:r>
      <w:r w:rsidR="00051C7E" w:rsidRPr="00051C7E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托珠单抗生物类似药临床研究总体要求</w:t>
      </w:r>
      <w:r w:rsidRPr="002913B6">
        <w:rPr>
          <w:rFonts w:ascii="Times New Roman" w:eastAsia="仿宋" w:hAnsi="Times New Roman" w:cs="Times New Roman"/>
          <w:color w:val="000000"/>
          <w:sz w:val="32"/>
          <w:szCs w:val="32"/>
        </w:rPr>
        <w:t>”</w:t>
      </w:r>
      <w:r w:rsidRPr="002913B6">
        <w:rPr>
          <w:rFonts w:ascii="Times New Roman" w:eastAsia="仿宋" w:hAnsi="Times New Roman" w:cs="Times New Roman"/>
          <w:color w:val="000000"/>
          <w:sz w:val="32"/>
          <w:szCs w:val="32"/>
        </w:rPr>
        <w:t>部分，介绍了</w:t>
      </w:r>
      <w:r w:rsidR="00051C7E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目前对于该品种</w:t>
      </w:r>
      <w:r w:rsidR="00D47D7F" w:rsidRPr="002913B6">
        <w:rPr>
          <w:rFonts w:ascii="Times New Roman" w:eastAsia="仿宋" w:hAnsi="Times New Roman" w:cs="Times New Roman"/>
          <w:color w:val="000000"/>
          <w:sz w:val="32"/>
          <w:szCs w:val="32"/>
        </w:rPr>
        <w:t>生物类似药</w:t>
      </w:r>
      <w:r w:rsidR="00051C7E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临床研发的基本考虑</w:t>
      </w:r>
      <w:r w:rsidRPr="002913B6">
        <w:rPr>
          <w:rFonts w:ascii="Times New Roman" w:eastAsia="仿宋" w:hAnsi="Times New Roman" w:cs="Times New Roman"/>
          <w:color w:val="000000"/>
          <w:sz w:val="32"/>
          <w:szCs w:val="32"/>
        </w:rPr>
        <w:t>。</w:t>
      </w:r>
    </w:p>
    <w:p w:rsidR="00FD17F1" w:rsidRPr="002913B6" w:rsidRDefault="00075F16" w:rsidP="001777FF">
      <w:pPr>
        <w:ind w:firstLineChars="200" w:firstLine="640"/>
        <w:rPr>
          <w:rFonts w:ascii="Times New Roman" w:hAnsi="Times New Roman" w:cs="Times New Roman"/>
        </w:rPr>
      </w:pPr>
      <w:r w:rsidRPr="002913B6">
        <w:rPr>
          <w:rFonts w:ascii="Times New Roman" w:eastAsia="仿宋" w:hAnsi="Times New Roman" w:cs="Times New Roman"/>
          <w:color w:val="000000"/>
          <w:sz w:val="32"/>
          <w:szCs w:val="32"/>
        </w:rPr>
        <w:t>在</w:t>
      </w:r>
      <w:r w:rsidRPr="002913B6">
        <w:rPr>
          <w:rFonts w:ascii="Times New Roman" w:eastAsia="仿宋" w:hAnsi="Times New Roman" w:cs="Times New Roman"/>
          <w:color w:val="000000"/>
          <w:sz w:val="32"/>
          <w:szCs w:val="32"/>
        </w:rPr>
        <w:t>“</w:t>
      </w:r>
      <w:r w:rsidR="00051C7E" w:rsidRPr="00051C7E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临床研究设计考虑要点</w:t>
      </w:r>
      <w:r w:rsidRPr="002913B6">
        <w:rPr>
          <w:rFonts w:ascii="Times New Roman" w:eastAsia="仿宋" w:hAnsi="Times New Roman" w:cs="Times New Roman"/>
          <w:color w:val="000000"/>
          <w:sz w:val="32"/>
          <w:szCs w:val="32"/>
        </w:rPr>
        <w:t>”</w:t>
      </w:r>
      <w:r w:rsidRPr="002913B6">
        <w:rPr>
          <w:rFonts w:ascii="Times New Roman" w:eastAsia="仿宋" w:hAnsi="Times New Roman" w:cs="Times New Roman"/>
          <w:color w:val="000000"/>
          <w:sz w:val="32"/>
          <w:szCs w:val="32"/>
        </w:rPr>
        <w:t>部分，</w:t>
      </w:r>
      <w:r w:rsidR="00D47D7F" w:rsidRPr="002913B6">
        <w:rPr>
          <w:rFonts w:ascii="Times New Roman" w:eastAsia="仿宋" w:hAnsi="Times New Roman" w:cs="Times New Roman"/>
          <w:color w:val="000000"/>
          <w:sz w:val="32"/>
          <w:szCs w:val="32"/>
        </w:rPr>
        <w:t>详细介绍了</w:t>
      </w:r>
      <w:r w:rsidR="00051C7E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健康受试者</w:t>
      </w:r>
      <w:r w:rsidR="00D47D7F" w:rsidRPr="002913B6">
        <w:rPr>
          <w:rFonts w:ascii="Times New Roman" w:eastAsia="仿宋" w:hAnsi="Times New Roman" w:cs="Times New Roman"/>
          <w:color w:val="000000"/>
          <w:sz w:val="32"/>
          <w:szCs w:val="32"/>
        </w:rPr>
        <w:t>药代动力学比对研究</w:t>
      </w:r>
      <w:r w:rsidR="00051C7E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、患者</w:t>
      </w:r>
      <w:r w:rsidR="00D47D7F" w:rsidRPr="002913B6">
        <w:rPr>
          <w:rFonts w:ascii="Times New Roman" w:eastAsia="仿宋" w:hAnsi="Times New Roman" w:cs="Times New Roman"/>
          <w:color w:val="000000"/>
          <w:sz w:val="32"/>
          <w:szCs w:val="32"/>
        </w:rPr>
        <w:t>临床有效性比对研究</w:t>
      </w:r>
      <w:r w:rsidRPr="002913B6">
        <w:rPr>
          <w:rFonts w:ascii="Times New Roman" w:eastAsia="仿宋" w:hAnsi="Times New Roman" w:cs="Times New Roman"/>
          <w:color w:val="000000"/>
          <w:sz w:val="32"/>
          <w:szCs w:val="32"/>
        </w:rPr>
        <w:t>的研究设计</w:t>
      </w:r>
      <w:r w:rsidR="00051C7E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和</w:t>
      </w:r>
      <w:r w:rsidRPr="002913B6">
        <w:rPr>
          <w:rFonts w:ascii="Times New Roman" w:eastAsia="仿宋" w:hAnsi="Times New Roman" w:cs="Times New Roman"/>
          <w:color w:val="000000"/>
          <w:sz w:val="32"/>
          <w:szCs w:val="32"/>
        </w:rPr>
        <w:t>终点选择</w:t>
      </w:r>
      <w:r w:rsidR="00051C7E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以及免疫学性和患者药代动力学研究需要关注问题</w:t>
      </w:r>
      <w:r w:rsidR="004C04DF" w:rsidRPr="002913B6">
        <w:rPr>
          <w:rFonts w:ascii="Times New Roman" w:eastAsia="仿宋" w:hAnsi="Times New Roman" w:cs="Times New Roman"/>
          <w:color w:val="000000"/>
          <w:sz w:val="32"/>
          <w:szCs w:val="32"/>
        </w:rPr>
        <w:t>等</w:t>
      </w:r>
      <w:r w:rsidR="001118F7" w:rsidRPr="002913B6">
        <w:rPr>
          <w:rFonts w:ascii="Times New Roman" w:eastAsia="仿宋" w:hAnsi="Times New Roman" w:cs="Times New Roman"/>
          <w:color w:val="000000"/>
          <w:sz w:val="32"/>
          <w:szCs w:val="32"/>
        </w:rPr>
        <w:t>。</w:t>
      </w:r>
    </w:p>
    <w:p w:rsidR="00D34634" w:rsidRPr="002913B6" w:rsidRDefault="00D34634" w:rsidP="00FD17F1">
      <w:pPr>
        <w:jc w:val="center"/>
        <w:rPr>
          <w:rFonts w:ascii="Times New Roman" w:hAnsi="Times New Roman" w:cs="Times New Roman"/>
        </w:rPr>
      </w:pPr>
    </w:p>
    <w:sectPr w:rsidR="00D34634" w:rsidRPr="002913B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A5C" w:rsidRDefault="007D7A5C" w:rsidP="00075F16">
      <w:r>
        <w:separator/>
      </w:r>
    </w:p>
  </w:endnote>
  <w:endnote w:type="continuationSeparator" w:id="0">
    <w:p w:rsidR="007D7A5C" w:rsidRDefault="007D7A5C" w:rsidP="0007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F16" w:rsidRDefault="00075F16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075F16" w:rsidRDefault="00075F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14004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8"/>
      </w:rPr>
    </w:sdtEndPr>
    <w:sdtContent>
      <w:p w:rsidR="00075F16" w:rsidRPr="002913B6" w:rsidRDefault="00075F16" w:rsidP="00FD17F1">
        <w:pPr>
          <w:pStyle w:val="a5"/>
          <w:jc w:val="center"/>
          <w:rPr>
            <w:rFonts w:ascii="Times New Roman" w:hAnsi="Times New Roman" w:cs="Times New Roman"/>
            <w:sz w:val="21"/>
            <w:szCs w:val="28"/>
          </w:rPr>
        </w:pPr>
        <w:r w:rsidRPr="002913B6">
          <w:rPr>
            <w:rFonts w:ascii="Times New Roman" w:hAnsi="Times New Roman" w:cs="Times New Roman"/>
            <w:sz w:val="21"/>
            <w:szCs w:val="28"/>
          </w:rPr>
          <w:fldChar w:fldCharType="begin"/>
        </w:r>
        <w:r w:rsidRPr="002913B6">
          <w:rPr>
            <w:rFonts w:ascii="Times New Roman" w:hAnsi="Times New Roman" w:cs="Times New Roman"/>
            <w:sz w:val="21"/>
            <w:szCs w:val="28"/>
          </w:rPr>
          <w:instrText>PAGE   \* MERGEFORMAT</w:instrText>
        </w:r>
        <w:r w:rsidRPr="002913B6">
          <w:rPr>
            <w:rFonts w:ascii="Times New Roman" w:hAnsi="Times New Roman" w:cs="Times New Roman"/>
            <w:sz w:val="21"/>
            <w:szCs w:val="28"/>
          </w:rPr>
          <w:fldChar w:fldCharType="separate"/>
        </w:r>
        <w:r w:rsidR="007D7A5C" w:rsidRPr="007D7A5C">
          <w:rPr>
            <w:rFonts w:ascii="Times New Roman" w:hAnsi="Times New Roman" w:cs="Times New Roman"/>
            <w:noProof/>
            <w:sz w:val="21"/>
            <w:szCs w:val="28"/>
            <w:lang w:val="zh-CN"/>
          </w:rPr>
          <w:t>1</w:t>
        </w:r>
        <w:r w:rsidRPr="002913B6">
          <w:rPr>
            <w:rFonts w:ascii="Times New Roman" w:hAnsi="Times New Roman" w:cs="Times New Roman"/>
            <w:sz w:val="21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A5C" w:rsidRDefault="007D7A5C" w:rsidP="00075F16">
      <w:r>
        <w:separator/>
      </w:r>
    </w:p>
  </w:footnote>
  <w:footnote w:type="continuationSeparator" w:id="0">
    <w:p w:rsidR="007D7A5C" w:rsidRDefault="007D7A5C" w:rsidP="0007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7483"/>
    <w:multiLevelType w:val="singleLevel"/>
    <w:tmpl w:val="1795748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A3"/>
    <w:rsid w:val="000034AB"/>
    <w:rsid w:val="00021D4F"/>
    <w:rsid w:val="0004539E"/>
    <w:rsid w:val="00051927"/>
    <w:rsid w:val="00051C7E"/>
    <w:rsid w:val="00056F96"/>
    <w:rsid w:val="00063684"/>
    <w:rsid w:val="00075F16"/>
    <w:rsid w:val="000A3D1E"/>
    <w:rsid w:val="000C42A8"/>
    <w:rsid w:val="000D5644"/>
    <w:rsid w:val="000F22A4"/>
    <w:rsid w:val="00105592"/>
    <w:rsid w:val="001118F7"/>
    <w:rsid w:val="00116607"/>
    <w:rsid w:val="001179D9"/>
    <w:rsid w:val="00132177"/>
    <w:rsid w:val="00136B79"/>
    <w:rsid w:val="00141B5E"/>
    <w:rsid w:val="00145CDD"/>
    <w:rsid w:val="00162337"/>
    <w:rsid w:val="00164A89"/>
    <w:rsid w:val="001777FF"/>
    <w:rsid w:val="00181C2E"/>
    <w:rsid w:val="001A5024"/>
    <w:rsid w:val="001A57A9"/>
    <w:rsid w:val="001C668C"/>
    <w:rsid w:val="001E11E7"/>
    <w:rsid w:val="001F2CCF"/>
    <w:rsid w:val="001F4940"/>
    <w:rsid w:val="00203638"/>
    <w:rsid w:val="00242662"/>
    <w:rsid w:val="0025060E"/>
    <w:rsid w:val="00252786"/>
    <w:rsid w:val="00262D7F"/>
    <w:rsid w:val="00263055"/>
    <w:rsid w:val="002837C8"/>
    <w:rsid w:val="002902BA"/>
    <w:rsid w:val="002913B6"/>
    <w:rsid w:val="002A5EE7"/>
    <w:rsid w:val="002D008B"/>
    <w:rsid w:val="002D4CA9"/>
    <w:rsid w:val="002F2FB8"/>
    <w:rsid w:val="002F30E5"/>
    <w:rsid w:val="002F7D8B"/>
    <w:rsid w:val="00300806"/>
    <w:rsid w:val="00310DD1"/>
    <w:rsid w:val="00314F69"/>
    <w:rsid w:val="00321F79"/>
    <w:rsid w:val="0032336D"/>
    <w:rsid w:val="0032492F"/>
    <w:rsid w:val="003264EC"/>
    <w:rsid w:val="00327EA3"/>
    <w:rsid w:val="003345F9"/>
    <w:rsid w:val="00335E3F"/>
    <w:rsid w:val="0036377E"/>
    <w:rsid w:val="003656D2"/>
    <w:rsid w:val="00381E4F"/>
    <w:rsid w:val="00390836"/>
    <w:rsid w:val="003A3F76"/>
    <w:rsid w:val="003A5176"/>
    <w:rsid w:val="003E0795"/>
    <w:rsid w:val="00403F19"/>
    <w:rsid w:val="00404D62"/>
    <w:rsid w:val="0042300D"/>
    <w:rsid w:val="0044185B"/>
    <w:rsid w:val="00450E02"/>
    <w:rsid w:val="00454B56"/>
    <w:rsid w:val="00464311"/>
    <w:rsid w:val="00470A88"/>
    <w:rsid w:val="00472C54"/>
    <w:rsid w:val="00480D08"/>
    <w:rsid w:val="00485B27"/>
    <w:rsid w:val="00492C9C"/>
    <w:rsid w:val="004A448E"/>
    <w:rsid w:val="004A5665"/>
    <w:rsid w:val="004A7692"/>
    <w:rsid w:val="004C04DF"/>
    <w:rsid w:val="004C0C38"/>
    <w:rsid w:val="004C1E04"/>
    <w:rsid w:val="004D10B6"/>
    <w:rsid w:val="004D4C7C"/>
    <w:rsid w:val="004D70A5"/>
    <w:rsid w:val="0052309E"/>
    <w:rsid w:val="00532FEE"/>
    <w:rsid w:val="00535DE1"/>
    <w:rsid w:val="005407A3"/>
    <w:rsid w:val="00541369"/>
    <w:rsid w:val="00541853"/>
    <w:rsid w:val="005623B3"/>
    <w:rsid w:val="0057462B"/>
    <w:rsid w:val="00593563"/>
    <w:rsid w:val="00594B31"/>
    <w:rsid w:val="005A0798"/>
    <w:rsid w:val="005A2C81"/>
    <w:rsid w:val="005A4638"/>
    <w:rsid w:val="005D3E4F"/>
    <w:rsid w:val="005D50DF"/>
    <w:rsid w:val="005D6A6E"/>
    <w:rsid w:val="005E41E6"/>
    <w:rsid w:val="005E43BF"/>
    <w:rsid w:val="005F100D"/>
    <w:rsid w:val="006001D5"/>
    <w:rsid w:val="0060635D"/>
    <w:rsid w:val="00606BBA"/>
    <w:rsid w:val="00611D50"/>
    <w:rsid w:val="00612E80"/>
    <w:rsid w:val="00614004"/>
    <w:rsid w:val="006149B7"/>
    <w:rsid w:val="00627DB7"/>
    <w:rsid w:val="00652D4A"/>
    <w:rsid w:val="00653600"/>
    <w:rsid w:val="00672584"/>
    <w:rsid w:val="00673AF5"/>
    <w:rsid w:val="00684140"/>
    <w:rsid w:val="006869B2"/>
    <w:rsid w:val="00693BA3"/>
    <w:rsid w:val="006952C5"/>
    <w:rsid w:val="006A247D"/>
    <w:rsid w:val="006A5370"/>
    <w:rsid w:val="006B1641"/>
    <w:rsid w:val="006B1B9B"/>
    <w:rsid w:val="006B40C1"/>
    <w:rsid w:val="006C1B45"/>
    <w:rsid w:val="006C3FDA"/>
    <w:rsid w:val="006C533E"/>
    <w:rsid w:val="006C54D5"/>
    <w:rsid w:val="006C5E65"/>
    <w:rsid w:val="006C6408"/>
    <w:rsid w:val="006E2EF0"/>
    <w:rsid w:val="006E462C"/>
    <w:rsid w:val="006E4DC3"/>
    <w:rsid w:val="006F505C"/>
    <w:rsid w:val="00704E87"/>
    <w:rsid w:val="007075ED"/>
    <w:rsid w:val="00721303"/>
    <w:rsid w:val="00734E5F"/>
    <w:rsid w:val="00741629"/>
    <w:rsid w:val="00744049"/>
    <w:rsid w:val="00745F67"/>
    <w:rsid w:val="007836AA"/>
    <w:rsid w:val="007841AD"/>
    <w:rsid w:val="00785EEC"/>
    <w:rsid w:val="007877A3"/>
    <w:rsid w:val="00791AB4"/>
    <w:rsid w:val="00797400"/>
    <w:rsid w:val="007C1569"/>
    <w:rsid w:val="007D7A5C"/>
    <w:rsid w:val="007E0A40"/>
    <w:rsid w:val="007E2BDD"/>
    <w:rsid w:val="007F11FF"/>
    <w:rsid w:val="007F1CDB"/>
    <w:rsid w:val="007F7576"/>
    <w:rsid w:val="008023C5"/>
    <w:rsid w:val="00816011"/>
    <w:rsid w:val="008307AF"/>
    <w:rsid w:val="00836001"/>
    <w:rsid w:val="008411BD"/>
    <w:rsid w:val="00845228"/>
    <w:rsid w:val="00846E31"/>
    <w:rsid w:val="00850865"/>
    <w:rsid w:val="00856CE5"/>
    <w:rsid w:val="00863FCE"/>
    <w:rsid w:val="00864BD0"/>
    <w:rsid w:val="00875958"/>
    <w:rsid w:val="00883CFF"/>
    <w:rsid w:val="0089483C"/>
    <w:rsid w:val="008A509E"/>
    <w:rsid w:val="008B1C03"/>
    <w:rsid w:val="008C60E8"/>
    <w:rsid w:val="008D2777"/>
    <w:rsid w:val="008D5151"/>
    <w:rsid w:val="008D76E4"/>
    <w:rsid w:val="008E12FE"/>
    <w:rsid w:val="00920AC1"/>
    <w:rsid w:val="009218D9"/>
    <w:rsid w:val="00933078"/>
    <w:rsid w:val="00941527"/>
    <w:rsid w:val="00942942"/>
    <w:rsid w:val="0094591F"/>
    <w:rsid w:val="00947E8E"/>
    <w:rsid w:val="00952BFC"/>
    <w:rsid w:val="00987B37"/>
    <w:rsid w:val="00993F54"/>
    <w:rsid w:val="009A6713"/>
    <w:rsid w:val="009B19BE"/>
    <w:rsid w:val="009B3F7B"/>
    <w:rsid w:val="009D1816"/>
    <w:rsid w:val="009D72CB"/>
    <w:rsid w:val="009E0239"/>
    <w:rsid w:val="009E663E"/>
    <w:rsid w:val="00A10F3B"/>
    <w:rsid w:val="00A1621D"/>
    <w:rsid w:val="00A32EEA"/>
    <w:rsid w:val="00A60ACC"/>
    <w:rsid w:val="00A66423"/>
    <w:rsid w:val="00A777D4"/>
    <w:rsid w:val="00A91D9A"/>
    <w:rsid w:val="00A956C3"/>
    <w:rsid w:val="00AA4CD3"/>
    <w:rsid w:val="00AB2803"/>
    <w:rsid w:val="00AC57DF"/>
    <w:rsid w:val="00AC67D6"/>
    <w:rsid w:val="00AC7944"/>
    <w:rsid w:val="00AD19CB"/>
    <w:rsid w:val="00AE5239"/>
    <w:rsid w:val="00AE5DB0"/>
    <w:rsid w:val="00AF00ED"/>
    <w:rsid w:val="00B02C4F"/>
    <w:rsid w:val="00B03039"/>
    <w:rsid w:val="00B036A9"/>
    <w:rsid w:val="00B14FD4"/>
    <w:rsid w:val="00B340F7"/>
    <w:rsid w:val="00B353ED"/>
    <w:rsid w:val="00B414A2"/>
    <w:rsid w:val="00B50043"/>
    <w:rsid w:val="00B56EE5"/>
    <w:rsid w:val="00B642F3"/>
    <w:rsid w:val="00B67609"/>
    <w:rsid w:val="00B74498"/>
    <w:rsid w:val="00B869C5"/>
    <w:rsid w:val="00B92073"/>
    <w:rsid w:val="00BA5D4A"/>
    <w:rsid w:val="00BB097F"/>
    <w:rsid w:val="00BB6F10"/>
    <w:rsid w:val="00BD4B08"/>
    <w:rsid w:val="00BE13E7"/>
    <w:rsid w:val="00BE55FC"/>
    <w:rsid w:val="00BF6E87"/>
    <w:rsid w:val="00BF7256"/>
    <w:rsid w:val="00C3116A"/>
    <w:rsid w:val="00C32097"/>
    <w:rsid w:val="00C417E0"/>
    <w:rsid w:val="00C41A55"/>
    <w:rsid w:val="00C52A5B"/>
    <w:rsid w:val="00C54BBE"/>
    <w:rsid w:val="00C7477B"/>
    <w:rsid w:val="00C829EB"/>
    <w:rsid w:val="00C8502F"/>
    <w:rsid w:val="00C85D14"/>
    <w:rsid w:val="00C87F6E"/>
    <w:rsid w:val="00C9139E"/>
    <w:rsid w:val="00CB2E64"/>
    <w:rsid w:val="00CB33C3"/>
    <w:rsid w:val="00CB6A6E"/>
    <w:rsid w:val="00CC1055"/>
    <w:rsid w:val="00CD1698"/>
    <w:rsid w:val="00CD1B16"/>
    <w:rsid w:val="00CD3E8D"/>
    <w:rsid w:val="00CD6324"/>
    <w:rsid w:val="00CE1DE3"/>
    <w:rsid w:val="00CE25B1"/>
    <w:rsid w:val="00CE2965"/>
    <w:rsid w:val="00D16500"/>
    <w:rsid w:val="00D25CEB"/>
    <w:rsid w:val="00D34634"/>
    <w:rsid w:val="00D377B5"/>
    <w:rsid w:val="00D47D7F"/>
    <w:rsid w:val="00D51271"/>
    <w:rsid w:val="00D552BA"/>
    <w:rsid w:val="00D74D7E"/>
    <w:rsid w:val="00D91A51"/>
    <w:rsid w:val="00D93B8D"/>
    <w:rsid w:val="00DB629B"/>
    <w:rsid w:val="00DB7D1D"/>
    <w:rsid w:val="00DD06B3"/>
    <w:rsid w:val="00DD3CB9"/>
    <w:rsid w:val="00DE22F5"/>
    <w:rsid w:val="00DF130C"/>
    <w:rsid w:val="00E13CCC"/>
    <w:rsid w:val="00E178FB"/>
    <w:rsid w:val="00E23551"/>
    <w:rsid w:val="00E27AE5"/>
    <w:rsid w:val="00E3462D"/>
    <w:rsid w:val="00E37EF6"/>
    <w:rsid w:val="00E53551"/>
    <w:rsid w:val="00E61423"/>
    <w:rsid w:val="00E65269"/>
    <w:rsid w:val="00E7639E"/>
    <w:rsid w:val="00E8027A"/>
    <w:rsid w:val="00E8144F"/>
    <w:rsid w:val="00E92BC6"/>
    <w:rsid w:val="00E931DB"/>
    <w:rsid w:val="00E932DD"/>
    <w:rsid w:val="00E973F6"/>
    <w:rsid w:val="00EA2AE4"/>
    <w:rsid w:val="00EB4813"/>
    <w:rsid w:val="00ED7447"/>
    <w:rsid w:val="00EE390E"/>
    <w:rsid w:val="00EE5FDB"/>
    <w:rsid w:val="00EF2D70"/>
    <w:rsid w:val="00EF525A"/>
    <w:rsid w:val="00EF54D1"/>
    <w:rsid w:val="00F02D74"/>
    <w:rsid w:val="00F11BA1"/>
    <w:rsid w:val="00F23423"/>
    <w:rsid w:val="00F3186A"/>
    <w:rsid w:val="00F37A02"/>
    <w:rsid w:val="00F50030"/>
    <w:rsid w:val="00F53995"/>
    <w:rsid w:val="00F653F0"/>
    <w:rsid w:val="00F849EA"/>
    <w:rsid w:val="00F873AF"/>
    <w:rsid w:val="00FA7367"/>
    <w:rsid w:val="00FB4D5F"/>
    <w:rsid w:val="00FD17F1"/>
    <w:rsid w:val="00FF30DC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762947-D4CB-4FAE-BAF7-563504D1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5F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5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5F16"/>
    <w:rPr>
      <w:sz w:val="18"/>
      <w:szCs w:val="18"/>
    </w:rPr>
  </w:style>
  <w:style w:type="character" w:styleId="a7">
    <w:name w:val="page number"/>
    <w:basedOn w:val="a0"/>
    <w:rsid w:val="00075F16"/>
  </w:style>
  <w:style w:type="paragraph" w:styleId="a8">
    <w:name w:val="Balloon Text"/>
    <w:basedOn w:val="a"/>
    <w:link w:val="a9"/>
    <w:uiPriority w:val="99"/>
    <w:semiHidden/>
    <w:unhideWhenUsed/>
    <w:rsid w:val="007F1CD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F1C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宋媛媛</dc:creator>
  <cp:keywords/>
  <dc:description/>
  <cp:lastModifiedBy>陈东梅</cp:lastModifiedBy>
  <cp:revision>2</cp:revision>
  <cp:lastPrinted>2020-04-03T04:13:00Z</cp:lastPrinted>
  <dcterms:created xsi:type="dcterms:W3CDTF">2020-05-20T01:53:00Z</dcterms:created>
  <dcterms:modified xsi:type="dcterms:W3CDTF">2020-05-20T01:53:00Z</dcterms:modified>
</cp:coreProperties>
</file>