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19" w:rsidRPr="00E65E19" w:rsidRDefault="00653EA5" w:rsidP="00E65E19">
      <w:pPr>
        <w:adjustRightInd w:val="0"/>
        <w:snapToGrid w:val="0"/>
        <w:spacing w:beforeLines="100" w:before="312" w:afterLines="100" w:after="312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953CDA">
        <w:rPr>
          <w:rFonts w:ascii="方正小标宋简体" w:eastAsia="方正小标宋简体"/>
          <w:sz w:val="36"/>
          <w:szCs w:val="36"/>
        </w:rPr>
        <w:t>《</w:t>
      </w:r>
      <w:r w:rsidR="00E65E19" w:rsidRPr="00E65E19">
        <w:rPr>
          <w:rFonts w:ascii="方正小标宋简体" w:eastAsia="方正小标宋简体" w:hint="eastAsia"/>
          <w:sz w:val="36"/>
          <w:szCs w:val="36"/>
        </w:rPr>
        <w:t>地舒单抗注射液生物类似药（骨质疏松适应症）</w:t>
      </w:r>
    </w:p>
    <w:p w:rsidR="00653EA5" w:rsidRPr="00953CDA" w:rsidRDefault="00E65E19" w:rsidP="00E65E19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E65E19">
        <w:rPr>
          <w:rFonts w:ascii="方正小标宋简体" w:eastAsia="方正小标宋简体" w:hint="eastAsia"/>
          <w:sz w:val="36"/>
          <w:szCs w:val="36"/>
        </w:rPr>
        <w:t>临床试验设计指导原则</w:t>
      </w:r>
      <w:r w:rsidR="00770954">
        <w:rPr>
          <w:rFonts w:ascii="方正小标宋简体" w:eastAsia="方正小标宋简体" w:hint="eastAsia"/>
          <w:sz w:val="36"/>
          <w:szCs w:val="36"/>
        </w:rPr>
        <w:t>（征求意见</w:t>
      </w:r>
      <w:r w:rsidR="00770954">
        <w:rPr>
          <w:rFonts w:ascii="方正小标宋简体" w:eastAsia="方正小标宋简体"/>
          <w:sz w:val="36"/>
          <w:szCs w:val="36"/>
        </w:rPr>
        <w:t>稿）</w:t>
      </w:r>
      <w:r w:rsidR="00653EA5" w:rsidRPr="00953CDA">
        <w:rPr>
          <w:rFonts w:ascii="方正小标宋简体" w:eastAsia="方正小标宋简体"/>
          <w:sz w:val="36"/>
          <w:szCs w:val="36"/>
        </w:rPr>
        <w:t>》</w:t>
      </w:r>
    </w:p>
    <w:p w:rsidR="00653EA5" w:rsidRPr="009654A8" w:rsidRDefault="00653EA5" w:rsidP="00653EA5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953CDA">
        <w:rPr>
          <w:rFonts w:ascii="方正小标宋简体" w:eastAsia="方正小标宋简体"/>
          <w:sz w:val="36"/>
          <w:szCs w:val="36"/>
        </w:rPr>
        <w:t>起草说明</w:t>
      </w:r>
    </w:p>
    <w:p w:rsidR="00653EA5" w:rsidRPr="009654A8" w:rsidRDefault="00E55ADE" w:rsidP="00653EA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55AD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为鼓励生物</w:t>
      </w:r>
      <w:proofErr w:type="gramStart"/>
      <w:r w:rsidRPr="00E55AD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类似药</w:t>
      </w:r>
      <w:proofErr w:type="gramEnd"/>
      <w:r w:rsidRPr="00E55AD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研发，</w:t>
      </w:r>
      <w:r w:rsidR="00653EA5"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为进一步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规范和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指导</w:t>
      </w:r>
      <w:proofErr w:type="gramStart"/>
      <w:r w:rsidR="00E65E19" w:rsidRPr="00E65E1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</w:t>
      </w:r>
      <w:proofErr w:type="gramEnd"/>
      <w:r w:rsidR="00E65E19" w:rsidRPr="00E65E1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注射液生物类似药（骨质疏松适应症）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的临床研发，提供可参考的技术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要求</w:t>
      </w:r>
      <w:r w:rsidR="00E65E19">
        <w:rPr>
          <w:rFonts w:ascii="Times New Roman" w:eastAsia="仿宋_GB2312" w:hAnsi="Times New Roman" w:cs="Times New Roman"/>
          <w:color w:val="000000"/>
          <w:sz w:val="32"/>
          <w:szCs w:val="32"/>
        </w:rPr>
        <w:t>，药品审评中心组织起草了</w:t>
      </w:r>
      <w:proofErr w:type="gramStart"/>
      <w:r w:rsidR="00E65E19" w:rsidRPr="00E65E1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</w:t>
      </w:r>
      <w:proofErr w:type="gramEnd"/>
      <w:r w:rsidR="00E65E19" w:rsidRPr="00E65E1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注射液生物类似药（骨质疏松适应症）</w:t>
      </w:r>
      <w:r w:rsidR="00792CCE" w:rsidRPr="00792CC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临床试验设计指导原则</w:t>
      </w:r>
      <w:r w:rsidR="00653EA5"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。现将有关情况说明如下：</w:t>
      </w:r>
    </w:p>
    <w:p w:rsidR="00653EA5" w:rsidRPr="009654A8" w:rsidRDefault="00653EA5" w:rsidP="00653EA5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一、背景和目的</w:t>
      </w:r>
    </w:p>
    <w:p w:rsidR="00653EA5" w:rsidRPr="009654A8" w:rsidRDefault="005A3008" w:rsidP="00792CCE">
      <w:pPr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单抗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注射液是全人源化单克隆抗体（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IgG2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类），以高特异性和高亲和力结合并中和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RANK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配体（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RANKL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）的活性，阻止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RANKL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与其同源受体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RANK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结合，从而抑制破骨细胞末端分化和活化。</w:t>
      </w:r>
      <w:proofErr w:type="gramStart"/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</w:t>
      </w:r>
      <w:proofErr w:type="gramEnd"/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注射液由美国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安进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公司研发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上市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具有两种不同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规格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60 mg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1.0 ml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支和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120 mg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1.7 mL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瓶，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商品名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分别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为：</w:t>
      </w:r>
      <w:proofErr w:type="spellStart"/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Prolia</w:t>
      </w:r>
      <w:proofErr w:type="spellEnd"/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  <w:vertAlign w:val="superscript"/>
        </w:rPr>
        <w:t>®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XGEVA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  <w:vertAlign w:val="superscript"/>
        </w:rPr>
        <w:t>®</w:t>
      </w:r>
      <w:r w:rsidR="003C6B3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5A3008">
        <w:rPr>
          <w:rFonts w:ascii="Times New Roman" w:eastAsia="仿宋_GB2312" w:hAnsi="Times New Roman" w:cs="Times New Roman"/>
          <w:color w:val="000000"/>
          <w:sz w:val="32"/>
          <w:szCs w:val="32"/>
        </w:rPr>
        <w:t>其中</w:t>
      </w:r>
      <w:proofErr w:type="spellStart"/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Prolia</w:t>
      </w:r>
      <w:proofErr w:type="spellEnd"/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  <w:vertAlign w:val="superscript"/>
        </w:rPr>
        <w:t>®</w:t>
      </w:r>
      <w:r w:rsidRPr="005A300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用于</w:t>
      </w:r>
      <w:r w:rsidR="003C6B3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骨质疏松</w:t>
      </w:r>
      <w:r w:rsidR="003C6B35">
        <w:rPr>
          <w:rFonts w:ascii="Times New Roman" w:eastAsia="仿宋_GB2312" w:hAnsi="Times New Roman" w:cs="Times New Roman"/>
          <w:color w:val="000000"/>
          <w:sz w:val="32"/>
          <w:szCs w:val="32"/>
        </w:rPr>
        <w:t>适应症的治疗</w:t>
      </w:r>
      <w:r w:rsidR="00653EA5" w:rsidRPr="00953CD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63589D" w:rsidRPr="00953CDA">
        <w:rPr>
          <w:rFonts w:ascii="Times New Roman" w:eastAsia="仿宋_GB2312" w:hAnsi="Times New Roman" w:cs="Times New Roman"/>
          <w:color w:val="000000"/>
          <w:sz w:val="32"/>
          <w:szCs w:val="32"/>
        </w:rPr>
        <w:t>截至目前全球尚无</w:t>
      </w:r>
      <w:r w:rsidR="006358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</w:t>
      </w:r>
      <w:r w:rsidR="0063589D" w:rsidRPr="00953CDA">
        <w:rPr>
          <w:rFonts w:ascii="Times New Roman" w:eastAsia="仿宋_GB2312" w:hAnsi="Times New Roman" w:cs="Times New Roman"/>
          <w:color w:val="000000"/>
          <w:sz w:val="32"/>
          <w:szCs w:val="32"/>
        </w:rPr>
        <w:t>生物类似药获批上市，</w:t>
      </w:r>
      <w:r w:rsidR="0063589D" w:rsidRPr="006358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国外也无可参考的单品种指导原则</w:t>
      </w:r>
      <w:r w:rsidR="0063589D" w:rsidRPr="00953CD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653EA5" w:rsidRPr="00953CDA">
        <w:rPr>
          <w:rFonts w:ascii="Times New Roman" w:eastAsia="仿宋_GB2312" w:hAnsi="Times New Roman" w:cs="Times New Roman"/>
          <w:color w:val="000000"/>
          <w:sz w:val="32"/>
          <w:szCs w:val="32"/>
        </w:rPr>
        <w:t>国内已有多家制药企业启动了</w:t>
      </w:r>
      <w:r w:rsidR="0085282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</w:t>
      </w:r>
      <w:r w:rsidR="00653EA5" w:rsidRPr="00953CDA">
        <w:rPr>
          <w:rFonts w:ascii="Times New Roman" w:eastAsia="仿宋_GB2312" w:hAnsi="Times New Roman" w:cs="Times New Roman"/>
          <w:color w:val="000000"/>
          <w:sz w:val="32"/>
          <w:szCs w:val="32"/>
        </w:rPr>
        <w:t>生物类似药的研发</w:t>
      </w:r>
      <w:r w:rsidR="00A5501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A55010" w:rsidRPr="00A5501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因此现阶段需明确和统一国内</w:t>
      </w:r>
      <w:r w:rsidR="00A5501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</w:t>
      </w:r>
      <w:r w:rsidR="00A55010" w:rsidRPr="00A5501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单抗生物类似药临床试验要求。</w:t>
      </w:r>
      <w:r w:rsidR="0063589D" w:rsidRPr="006358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药品审评中心组织起草了《</w:t>
      </w:r>
      <w:r w:rsidR="00792CCE" w:rsidRPr="00792CC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地舒单抗注射液生物类似药</w:t>
      </w:r>
      <w:r w:rsidR="00792CCE" w:rsidRPr="00792CC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（骨质疏松适应症）临床试验设计指导原则（征求意见稿）</w:t>
      </w:r>
      <w:r w:rsidR="0063589D" w:rsidRPr="0063589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》。</w:t>
      </w:r>
    </w:p>
    <w:p w:rsidR="00653EA5" w:rsidRPr="009654A8" w:rsidRDefault="00653EA5" w:rsidP="00653EA5">
      <w:pPr>
        <w:numPr>
          <w:ilvl w:val="0"/>
          <w:numId w:val="1"/>
        </w:num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起草过程</w:t>
      </w:r>
    </w:p>
    <w:p w:rsidR="00CC505E" w:rsidRDefault="000F2CF9" w:rsidP="00653EA5">
      <w:pPr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本指导原则</w:t>
      </w:r>
      <w:r w:rsidR="0090159C">
        <w:rPr>
          <w:rFonts w:ascii="Times New Roman" w:eastAsia="仿宋_GB2312" w:hAnsi="Times New Roman" w:cs="Times New Roman"/>
          <w:color w:val="000000"/>
          <w:sz w:val="32"/>
          <w:szCs w:val="32"/>
        </w:rPr>
        <w:t>由</w:t>
      </w:r>
      <w:r w:rsidR="0090159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化药临床一部牵头</w:t>
      </w:r>
      <w:r w:rsidR="00D61474">
        <w:rPr>
          <w:rFonts w:ascii="Times New Roman" w:eastAsia="仿宋_GB2312" w:hAnsi="Times New Roman" w:cs="Times New Roman"/>
          <w:color w:val="000000"/>
          <w:sz w:val="32"/>
          <w:szCs w:val="32"/>
        </w:rPr>
        <w:t>成立</w:t>
      </w:r>
      <w:r w:rsidR="007E403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核心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</w:t>
      </w:r>
      <w:r w:rsidR="0090159C">
        <w:rPr>
          <w:rFonts w:ascii="Times New Roman" w:eastAsia="仿宋_GB2312" w:hAnsi="Times New Roman" w:cs="Times New Roman"/>
          <w:color w:val="000000"/>
          <w:sz w:val="32"/>
          <w:szCs w:val="32"/>
        </w:rPr>
        <w:t>小组</w:t>
      </w:r>
      <w:r w:rsidRPr="00A5501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1176CB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="001636D1" w:rsidRPr="001636D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原国家食品药</w:t>
      </w:r>
      <w:r w:rsidR="0015523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品</w:t>
      </w:r>
      <w:r w:rsidR="001636D1" w:rsidRPr="001636D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监督管理总局于</w:t>
      </w:r>
      <w:r w:rsidR="001636D1" w:rsidRPr="001636D1">
        <w:rPr>
          <w:rFonts w:ascii="Times New Roman" w:eastAsia="仿宋_GB2312" w:hAnsi="Times New Roman" w:cs="Times New Roman"/>
          <w:color w:val="000000"/>
          <w:sz w:val="32"/>
          <w:szCs w:val="32"/>
        </w:rPr>
        <w:t>2015</w:t>
      </w:r>
      <w:r w:rsidR="001636D1" w:rsidRPr="001636D1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1636D1" w:rsidRPr="001636D1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1636D1" w:rsidRPr="001636D1">
        <w:rPr>
          <w:rFonts w:ascii="Times New Roman" w:eastAsia="仿宋_GB2312" w:hAnsi="Times New Roman" w:cs="Times New Roman"/>
          <w:color w:val="000000"/>
          <w:sz w:val="32"/>
          <w:szCs w:val="32"/>
        </w:rPr>
        <w:t>月发布</w:t>
      </w:r>
      <w:r w:rsidR="001636D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 w:rsidR="001176CB" w:rsidRPr="001176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《生物类似药研发与评价技术指导原则（试行）》</w:t>
      </w:r>
      <w:r w:rsidR="001176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基础</w:t>
      </w:r>
      <w:r w:rsidR="001176CB">
        <w:rPr>
          <w:rFonts w:ascii="Times New Roman" w:eastAsia="仿宋_GB2312" w:hAnsi="Times New Roman" w:cs="Times New Roman"/>
          <w:color w:val="000000"/>
          <w:sz w:val="32"/>
          <w:szCs w:val="32"/>
        </w:rPr>
        <w:t>上，</w:t>
      </w:r>
      <w:r w:rsidR="001176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结合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特点</w:t>
      </w:r>
      <w:r w:rsidR="008517B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及既往</w:t>
      </w:r>
      <w:r w:rsidR="0086583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与</w:t>
      </w:r>
      <w:r w:rsidR="008517B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企业</w:t>
      </w:r>
      <w:r w:rsidR="008517BA">
        <w:rPr>
          <w:rFonts w:ascii="Times New Roman" w:eastAsia="仿宋_GB2312" w:hAnsi="Times New Roman" w:cs="Times New Roman"/>
          <w:color w:val="000000"/>
          <w:sz w:val="32"/>
          <w:szCs w:val="32"/>
        </w:rPr>
        <w:t>沟通</w:t>
      </w:r>
      <w:r w:rsidR="008517B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交流</w:t>
      </w:r>
      <w:r w:rsidR="0086583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过程中</w:t>
      </w:r>
      <w:r w:rsidR="0086583C">
        <w:rPr>
          <w:rFonts w:ascii="Times New Roman" w:eastAsia="仿宋_GB2312" w:hAnsi="Times New Roman" w:cs="Times New Roman"/>
          <w:color w:val="000000"/>
          <w:sz w:val="32"/>
          <w:szCs w:val="32"/>
        </w:rPr>
        <w:t>发现的</w:t>
      </w:r>
      <w:r w:rsidR="00CC5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临床试验</w:t>
      </w:r>
      <w:r w:rsidR="00CC505E">
        <w:rPr>
          <w:rFonts w:ascii="Times New Roman" w:eastAsia="仿宋_GB2312" w:hAnsi="Times New Roman" w:cs="Times New Roman"/>
          <w:color w:val="000000"/>
          <w:sz w:val="32"/>
          <w:szCs w:val="32"/>
        </w:rPr>
        <w:t>设计共性</w:t>
      </w:r>
      <w:r w:rsidR="008517BA">
        <w:rPr>
          <w:rFonts w:ascii="Times New Roman" w:eastAsia="仿宋_GB2312" w:hAnsi="Times New Roman" w:cs="Times New Roman"/>
          <w:color w:val="000000"/>
          <w:sz w:val="32"/>
          <w:szCs w:val="32"/>
        </w:rPr>
        <w:t>问题</w:t>
      </w:r>
      <w:r w:rsidR="001176CB" w:rsidRPr="001176C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8517BA">
        <w:rPr>
          <w:rFonts w:ascii="Times New Roman" w:eastAsia="仿宋_GB2312" w:hAnsi="Times New Roman" w:cs="Times New Roman"/>
          <w:color w:val="000000"/>
          <w:sz w:val="32"/>
          <w:szCs w:val="32"/>
        </w:rPr>
        <w:t>经</w:t>
      </w:r>
      <w:r w:rsidR="00E138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工作小组</w:t>
      </w:r>
      <w:r w:rsidR="008517BA">
        <w:rPr>
          <w:rFonts w:ascii="Times New Roman" w:eastAsia="仿宋_GB2312" w:hAnsi="Times New Roman" w:cs="Times New Roman"/>
          <w:color w:val="000000"/>
          <w:sz w:val="32"/>
          <w:szCs w:val="32"/>
        </w:rPr>
        <w:t>讨论</w:t>
      </w:r>
      <w:r w:rsidR="00CC5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启动撰写</w:t>
      </w:r>
      <w:r w:rsidR="00CC505E">
        <w:rPr>
          <w:rFonts w:ascii="Times New Roman" w:eastAsia="仿宋_GB2312" w:hAnsi="Times New Roman" w:cs="Times New Roman"/>
          <w:color w:val="000000"/>
          <w:sz w:val="32"/>
          <w:szCs w:val="32"/>
        </w:rPr>
        <w:t>本</w:t>
      </w:r>
      <w:r w:rsidR="0086583C">
        <w:rPr>
          <w:rFonts w:ascii="Times New Roman" w:eastAsia="仿宋_GB2312" w:hAnsi="Times New Roman" w:cs="Times New Roman"/>
          <w:color w:val="000000"/>
          <w:sz w:val="32"/>
          <w:szCs w:val="32"/>
        </w:rPr>
        <w:t>指导原则。</w:t>
      </w:r>
    </w:p>
    <w:p w:rsidR="00653EA5" w:rsidRPr="009654A8" w:rsidRDefault="00653EA5" w:rsidP="00653EA5">
      <w:pPr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本项工作自</w:t>
      </w:r>
      <w:r w:rsidR="00A55010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F40A95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月正式启动，</w:t>
      </w:r>
      <w:r w:rsidR="00632C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2020</w:t>
      </w:r>
      <w:r w:rsidR="00632C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="00632C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="00632C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632C85">
        <w:rPr>
          <w:rFonts w:ascii="Times New Roman" w:eastAsia="仿宋_GB2312" w:hAnsi="Times New Roman" w:cs="Times New Roman"/>
          <w:color w:val="000000"/>
          <w:sz w:val="32"/>
          <w:szCs w:val="32"/>
        </w:rPr>
        <w:t>完成</w:t>
      </w:r>
      <w:r w:rsidR="00632C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初稿</w:t>
      </w:r>
      <w:r w:rsidR="00632C85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857AC7" w:rsidRPr="00857A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</w:t>
      </w:r>
      <w:r w:rsidR="0090159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进一步征求</w:t>
      </w:r>
      <w:r w:rsidR="006E1B4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统计</w:t>
      </w:r>
      <w:r w:rsidR="006E1B4F">
        <w:rPr>
          <w:rFonts w:ascii="Times New Roman" w:eastAsia="仿宋_GB2312" w:hAnsi="Times New Roman" w:cs="Times New Roman"/>
          <w:color w:val="000000"/>
          <w:sz w:val="32"/>
          <w:szCs w:val="32"/>
        </w:rPr>
        <w:t>与临床药理学</w:t>
      </w:r>
      <w:r w:rsidR="006B113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部</w:t>
      </w:r>
      <w:r w:rsidR="00857A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意见，</w:t>
      </w:r>
      <w:r w:rsidR="007339C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并</w:t>
      </w:r>
      <w:r w:rsidR="007339C2">
        <w:rPr>
          <w:rFonts w:ascii="Times New Roman" w:eastAsia="仿宋_GB2312" w:hAnsi="Times New Roman" w:cs="Times New Roman"/>
          <w:color w:val="000000"/>
          <w:sz w:val="32"/>
          <w:szCs w:val="32"/>
        </w:rPr>
        <w:t>经</w:t>
      </w:r>
      <w:r w:rsidR="00857AC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技术委员会审核，</w:t>
      </w:r>
      <w:r w:rsidR="00632C8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形成本次征求意见稿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653EA5" w:rsidRPr="009654A8" w:rsidRDefault="00653EA5" w:rsidP="00653EA5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三、主要内容与说明</w:t>
      </w:r>
    </w:p>
    <w:p w:rsidR="00653EA5" w:rsidRPr="009654A8" w:rsidRDefault="00632C85" w:rsidP="00653EA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32C85">
        <w:rPr>
          <w:rFonts w:ascii="Times New Roman" w:eastAsia="仿宋_GB2312" w:hAnsi="Times New Roman" w:cs="Times New Roman" w:hint="eastAsia"/>
          <w:sz w:val="32"/>
          <w:szCs w:val="32"/>
        </w:rPr>
        <w:t>本指导原则对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地舒</w:t>
      </w:r>
      <w:r w:rsidRPr="00632C85">
        <w:rPr>
          <w:rFonts w:ascii="Times New Roman" w:eastAsia="仿宋_GB2312" w:hAnsi="Times New Roman" w:cs="Times New Roman" w:hint="eastAsia"/>
          <w:sz w:val="32"/>
          <w:szCs w:val="32"/>
        </w:rPr>
        <w:t>单抗</w:t>
      </w:r>
      <w:proofErr w:type="gramEnd"/>
      <w:r w:rsidRPr="00632C85">
        <w:rPr>
          <w:rFonts w:ascii="Times New Roman" w:eastAsia="仿宋_GB2312" w:hAnsi="Times New Roman" w:cs="Times New Roman" w:hint="eastAsia"/>
          <w:sz w:val="32"/>
          <w:szCs w:val="32"/>
        </w:rPr>
        <w:t>注射液生物</w:t>
      </w:r>
      <w:proofErr w:type="gramStart"/>
      <w:r w:rsidRPr="00632C85">
        <w:rPr>
          <w:rFonts w:ascii="Times New Roman" w:eastAsia="仿宋_GB2312" w:hAnsi="Times New Roman" w:cs="Times New Roman" w:hint="eastAsia"/>
          <w:sz w:val="32"/>
          <w:szCs w:val="32"/>
        </w:rPr>
        <w:t>类似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的临床试验设计、终点选择和等效性界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值提出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建议。主要</w:t>
      </w:r>
      <w:r w:rsidR="00C82861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以下部分</w:t>
      </w:r>
      <w:r w:rsidR="00653EA5"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653EA5" w:rsidRPr="009654A8" w:rsidRDefault="00653EA5" w:rsidP="00653EA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概述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部分介绍了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原研药</w:t>
      </w:r>
      <w:r w:rsidR="00355D6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的上市情况及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本指导原则的撰写目的及适用范围。</w:t>
      </w:r>
    </w:p>
    <w:p w:rsidR="00653EA5" w:rsidRPr="009654A8" w:rsidRDefault="00653EA5" w:rsidP="00653EA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15521D" w:rsidRPr="0015521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地舒单抗生物类似药临床研究策略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部分</w:t>
      </w:r>
      <w:r w:rsidR="00E851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，介绍了目前对于该品种生物类似药临床研发的基本考虑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437D45" w:rsidRPr="00653EA5" w:rsidRDefault="00653EA5" w:rsidP="00653EA5">
      <w:pPr>
        <w:spacing w:line="360" w:lineRule="auto"/>
        <w:ind w:firstLineChars="200" w:firstLine="640"/>
        <w:rPr>
          <w:rFonts w:ascii="Times New Roman" w:eastAsia="仿宋_GB2312" w:hAnsi="Times New Roman" w:cs="Times New Roman"/>
        </w:rPr>
      </w:pP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9654A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临床试验设计要点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部分</w:t>
      </w:r>
      <w:r w:rsidR="00E851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E851F8">
        <w:rPr>
          <w:rFonts w:ascii="Times New Roman" w:eastAsia="仿宋_GB2312" w:hAnsi="Times New Roman" w:cs="Times New Roman"/>
          <w:color w:val="000000"/>
          <w:sz w:val="32"/>
          <w:szCs w:val="32"/>
        </w:rPr>
        <w:t>详细介绍了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健康受试者药代动力学比对试验、</w:t>
      </w:r>
      <w:r w:rsidR="00E851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患者</w:t>
      </w:r>
      <w:r w:rsidRPr="009654A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临床有效性比对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 w:rsidR="00E851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研究设计和</w:t>
      </w:r>
      <w:r w:rsidR="00EF6AF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终点</w:t>
      </w:r>
      <w:r w:rsidR="00E851F8">
        <w:rPr>
          <w:rFonts w:ascii="Times New Roman" w:eastAsia="仿宋_GB2312" w:hAnsi="Times New Roman" w:cs="Times New Roman"/>
          <w:color w:val="000000"/>
          <w:sz w:val="32"/>
          <w:szCs w:val="32"/>
        </w:rPr>
        <w:t>选择以及患者药代动力学研究</w:t>
      </w:r>
      <w:r w:rsidR="00E851F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需要</w:t>
      </w:r>
      <w:r w:rsidR="00E851F8">
        <w:rPr>
          <w:rFonts w:ascii="Times New Roman" w:eastAsia="仿宋_GB2312" w:hAnsi="Times New Roman" w:cs="Times New Roman"/>
          <w:color w:val="000000"/>
          <w:sz w:val="32"/>
          <w:szCs w:val="32"/>
        </w:rPr>
        <w:t>关注问题等</w:t>
      </w:r>
      <w:r w:rsidRPr="009654A8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sectPr w:rsidR="00437D45" w:rsidRPr="00653EA5" w:rsidSect="001D118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FA" w:rsidRDefault="00D261FA" w:rsidP="00653EA5">
      <w:r>
        <w:separator/>
      </w:r>
    </w:p>
  </w:endnote>
  <w:endnote w:type="continuationSeparator" w:id="0">
    <w:p w:rsidR="00D261FA" w:rsidRDefault="00D261FA" w:rsidP="0065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8A" w:rsidRPr="00953CDA" w:rsidRDefault="001D118A" w:rsidP="001D118A">
    <w:pPr>
      <w:pStyle w:val="a5"/>
      <w:jc w:val="center"/>
      <w:rPr>
        <w:rFonts w:ascii="Times New Roman" w:hAnsi="Times New Roman" w:cs="Times New Roman"/>
      </w:rPr>
    </w:pPr>
  </w:p>
  <w:p w:rsidR="001D118A" w:rsidRDefault="001D11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FA" w:rsidRDefault="00D261FA" w:rsidP="00653EA5">
      <w:r>
        <w:separator/>
      </w:r>
    </w:p>
  </w:footnote>
  <w:footnote w:type="continuationSeparator" w:id="0">
    <w:p w:rsidR="00D261FA" w:rsidRDefault="00D261FA" w:rsidP="0065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2A"/>
    <w:rsid w:val="00013C7D"/>
    <w:rsid w:val="00036C02"/>
    <w:rsid w:val="0005552C"/>
    <w:rsid w:val="0006014F"/>
    <w:rsid w:val="00071C76"/>
    <w:rsid w:val="00074404"/>
    <w:rsid w:val="000831B3"/>
    <w:rsid w:val="00083C35"/>
    <w:rsid w:val="00091034"/>
    <w:rsid w:val="000B436A"/>
    <w:rsid w:val="000C7CDC"/>
    <w:rsid w:val="000F0446"/>
    <w:rsid w:val="000F0C04"/>
    <w:rsid w:val="000F2CF9"/>
    <w:rsid w:val="000F6FF2"/>
    <w:rsid w:val="000F77F7"/>
    <w:rsid w:val="00104FF4"/>
    <w:rsid w:val="001176CB"/>
    <w:rsid w:val="001250F3"/>
    <w:rsid w:val="00134EF4"/>
    <w:rsid w:val="00154384"/>
    <w:rsid w:val="0015521D"/>
    <w:rsid w:val="00155238"/>
    <w:rsid w:val="001636D1"/>
    <w:rsid w:val="001801CB"/>
    <w:rsid w:val="001821BD"/>
    <w:rsid w:val="001873D8"/>
    <w:rsid w:val="0019125E"/>
    <w:rsid w:val="001A6098"/>
    <w:rsid w:val="001A701B"/>
    <w:rsid w:val="001B4D6F"/>
    <w:rsid w:val="001B53C1"/>
    <w:rsid w:val="001B6B32"/>
    <w:rsid w:val="001C445B"/>
    <w:rsid w:val="001D118A"/>
    <w:rsid w:val="001E59BF"/>
    <w:rsid w:val="001F5E1D"/>
    <w:rsid w:val="00220650"/>
    <w:rsid w:val="00224770"/>
    <w:rsid w:val="002509AA"/>
    <w:rsid w:val="0025104B"/>
    <w:rsid w:val="002534B2"/>
    <w:rsid w:val="00266CFD"/>
    <w:rsid w:val="00277D02"/>
    <w:rsid w:val="00287709"/>
    <w:rsid w:val="00293724"/>
    <w:rsid w:val="00294E36"/>
    <w:rsid w:val="002B0386"/>
    <w:rsid w:val="002F0B78"/>
    <w:rsid w:val="002F42F1"/>
    <w:rsid w:val="002F6608"/>
    <w:rsid w:val="003203C8"/>
    <w:rsid w:val="003377C1"/>
    <w:rsid w:val="00351490"/>
    <w:rsid w:val="00355D6E"/>
    <w:rsid w:val="00365C78"/>
    <w:rsid w:val="003720E9"/>
    <w:rsid w:val="003863C1"/>
    <w:rsid w:val="003A733D"/>
    <w:rsid w:val="003B50FB"/>
    <w:rsid w:val="003C18BF"/>
    <w:rsid w:val="003C2180"/>
    <w:rsid w:val="003C33FE"/>
    <w:rsid w:val="003C6B35"/>
    <w:rsid w:val="003D36F2"/>
    <w:rsid w:val="003E1ECA"/>
    <w:rsid w:val="004031F0"/>
    <w:rsid w:val="00417021"/>
    <w:rsid w:val="00434545"/>
    <w:rsid w:val="00434EC9"/>
    <w:rsid w:val="00437D45"/>
    <w:rsid w:val="004405C1"/>
    <w:rsid w:val="00440EF4"/>
    <w:rsid w:val="0044433B"/>
    <w:rsid w:val="00446C2A"/>
    <w:rsid w:val="00450618"/>
    <w:rsid w:val="00454282"/>
    <w:rsid w:val="004637BD"/>
    <w:rsid w:val="004726DA"/>
    <w:rsid w:val="004755CC"/>
    <w:rsid w:val="00491B60"/>
    <w:rsid w:val="004962FA"/>
    <w:rsid w:val="004C507D"/>
    <w:rsid w:val="004D799E"/>
    <w:rsid w:val="004E58FE"/>
    <w:rsid w:val="004F2B91"/>
    <w:rsid w:val="004F4462"/>
    <w:rsid w:val="004F6218"/>
    <w:rsid w:val="005011C0"/>
    <w:rsid w:val="005160BD"/>
    <w:rsid w:val="00535A57"/>
    <w:rsid w:val="005441D4"/>
    <w:rsid w:val="00556236"/>
    <w:rsid w:val="0057320E"/>
    <w:rsid w:val="005808EC"/>
    <w:rsid w:val="00585C06"/>
    <w:rsid w:val="00591194"/>
    <w:rsid w:val="005A0BDF"/>
    <w:rsid w:val="005A0D39"/>
    <w:rsid w:val="005A0E5C"/>
    <w:rsid w:val="005A2626"/>
    <w:rsid w:val="005A3008"/>
    <w:rsid w:val="005B463C"/>
    <w:rsid w:val="005B5AFE"/>
    <w:rsid w:val="005B6181"/>
    <w:rsid w:val="005B6A34"/>
    <w:rsid w:val="005E2EEC"/>
    <w:rsid w:val="005E400E"/>
    <w:rsid w:val="005E4C33"/>
    <w:rsid w:val="005F43CF"/>
    <w:rsid w:val="005F7D70"/>
    <w:rsid w:val="0060019C"/>
    <w:rsid w:val="006211E3"/>
    <w:rsid w:val="00632C85"/>
    <w:rsid w:val="0063589D"/>
    <w:rsid w:val="006520C6"/>
    <w:rsid w:val="00653EA5"/>
    <w:rsid w:val="00660E5A"/>
    <w:rsid w:val="006B113E"/>
    <w:rsid w:val="006B17ED"/>
    <w:rsid w:val="006D0529"/>
    <w:rsid w:val="006E1B4F"/>
    <w:rsid w:val="006F0ED6"/>
    <w:rsid w:val="006F34E4"/>
    <w:rsid w:val="006F7172"/>
    <w:rsid w:val="00720524"/>
    <w:rsid w:val="007339C2"/>
    <w:rsid w:val="00734954"/>
    <w:rsid w:val="00770954"/>
    <w:rsid w:val="007711ED"/>
    <w:rsid w:val="00772DE1"/>
    <w:rsid w:val="007737E4"/>
    <w:rsid w:val="00781513"/>
    <w:rsid w:val="00790346"/>
    <w:rsid w:val="00791E2D"/>
    <w:rsid w:val="00792CCE"/>
    <w:rsid w:val="007A43CE"/>
    <w:rsid w:val="007A6B89"/>
    <w:rsid w:val="007E403B"/>
    <w:rsid w:val="007E6ABA"/>
    <w:rsid w:val="008165AF"/>
    <w:rsid w:val="008517BA"/>
    <w:rsid w:val="0085282F"/>
    <w:rsid w:val="00853C31"/>
    <w:rsid w:val="00857AC7"/>
    <w:rsid w:val="0086583C"/>
    <w:rsid w:val="00885F45"/>
    <w:rsid w:val="00891629"/>
    <w:rsid w:val="0089459C"/>
    <w:rsid w:val="008A7248"/>
    <w:rsid w:val="008A7431"/>
    <w:rsid w:val="008F3E32"/>
    <w:rsid w:val="0090159C"/>
    <w:rsid w:val="009041BA"/>
    <w:rsid w:val="00913D83"/>
    <w:rsid w:val="00917700"/>
    <w:rsid w:val="00921A88"/>
    <w:rsid w:val="00933452"/>
    <w:rsid w:val="0094351A"/>
    <w:rsid w:val="00950BCE"/>
    <w:rsid w:val="0095167B"/>
    <w:rsid w:val="00984028"/>
    <w:rsid w:val="00997DB8"/>
    <w:rsid w:val="009A561E"/>
    <w:rsid w:val="009B211F"/>
    <w:rsid w:val="009E416C"/>
    <w:rsid w:val="009F78D5"/>
    <w:rsid w:val="00A0358E"/>
    <w:rsid w:val="00A13E87"/>
    <w:rsid w:val="00A22207"/>
    <w:rsid w:val="00A26A31"/>
    <w:rsid w:val="00A3479B"/>
    <w:rsid w:val="00A46922"/>
    <w:rsid w:val="00A53857"/>
    <w:rsid w:val="00A55010"/>
    <w:rsid w:val="00A65017"/>
    <w:rsid w:val="00A73AE3"/>
    <w:rsid w:val="00A82878"/>
    <w:rsid w:val="00A82CC0"/>
    <w:rsid w:val="00A914B2"/>
    <w:rsid w:val="00A94A62"/>
    <w:rsid w:val="00A95D17"/>
    <w:rsid w:val="00AA6393"/>
    <w:rsid w:val="00AB4B9B"/>
    <w:rsid w:val="00AC41BB"/>
    <w:rsid w:val="00AC58AF"/>
    <w:rsid w:val="00AD2946"/>
    <w:rsid w:val="00AD57E4"/>
    <w:rsid w:val="00AE3F4D"/>
    <w:rsid w:val="00B05BF0"/>
    <w:rsid w:val="00B20266"/>
    <w:rsid w:val="00B247D1"/>
    <w:rsid w:val="00B35FC8"/>
    <w:rsid w:val="00B36CB2"/>
    <w:rsid w:val="00B5330B"/>
    <w:rsid w:val="00B60333"/>
    <w:rsid w:val="00B64816"/>
    <w:rsid w:val="00B65AB7"/>
    <w:rsid w:val="00B766DA"/>
    <w:rsid w:val="00B90B85"/>
    <w:rsid w:val="00BC2EE3"/>
    <w:rsid w:val="00BE4599"/>
    <w:rsid w:val="00BF3625"/>
    <w:rsid w:val="00C01F12"/>
    <w:rsid w:val="00C334FC"/>
    <w:rsid w:val="00C45D5B"/>
    <w:rsid w:val="00C554B1"/>
    <w:rsid w:val="00C562B5"/>
    <w:rsid w:val="00C57919"/>
    <w:rsid w:val="00C6646A"/>
    <w:rsid w:val="00C75397"/>
    <w:rsid w:val="00C82861"/>
    <w:rsid w:val="00C83DBF"/>
    <w:rsid w:val="00C93F47"/>
    <w:rsid w:val="00CC035C"/>
    <w:rsid w:val="00CC505E"/>
    <w:rsid w:val="00CD5680"/>
    <w:rsid w:val="00CF5C6F"/>
    <w:rsid w:val="00CF642B"/>
    <w:rsid w:val="00D1470F"/>
    <w:rsid w:val="00D261FA"/>
    <w:rsid w:val="00D31B1D"/>
    <w:rsid w:val="00D61474"/>
    <w:rsid w:val="00D73CAB"/>
    <w:rsid w:val="00D763A9"/>
    <w:rsid w:val="00D767F1"/>
    <w:rsid w:val="00D85482"/>
    <w:rsid w:val="00D935A7"/>
    <w:rsid w:val="00D93AA3"/>
    <w:rsid w:val="00D93CBD"/>
    <w:rsid w:val="00D942CA"/>
    <w:rsid w:val="00DA5BB1"/>
    <w:rsid w:val="00DB0FE9"/>
    <w:rsid w:val="00DC2E5D"/>
    <w:rsid w:val="00DD4B49"/>
    <w:rsid w:val="00DD6AED"/>
    <w:rsid w:val="00DE0ED8"/>
    <w:rsid w:val="00DF5177"/>
    <w:rsid w:val="00DF73B5"/>
    <w:rsid w:val="00E005EA"/>
    <w:rsid w:val="00E03CF1"/>
    <w:rsid w:val="00E103C5"/>
    <w:rsid w:val="00E1387D"/>
    <w:rsid w:val="00E148C7"/>
    <w:rsid w:val="00E160A9"/>
    <w:rsid w:val="00E34A74"/>
    <w:rsid w:val="00E46E3A"/>
    <w:rsid w:val="00E55ADE"/>
    <w:rsid w:val="00E6009D"/>
    <w:rsid w:val="00E65E19"/>
    <w:rsid w:val="00E678C8"/>
    <w:rsid w:val="00E721F2"/>
    <w:rsid w:val="00E729E5"/>
    <w:rsid w:val="00E77612"/>
    <w:rsid w:val="00E851F8"/>
    <w:rsid w:val="00E917E2"/>
    <w:rsid w:val="00E930EB"/>
    <w:rsid w:val="00EB2884"/>
    <w:rsid w:val="00ED438C"/>
    <w:rsid w:val="00EE1753"/>
    <w:rsid w:val="00EE4E84"/>
    <w:rsid w:val="00EF571C"/>
    <w:rsid w:val="00EF6AF1"/>
    <w:rsid w:val="00EF6EF0"/>
    <w:rsid w:val="00F3707C"/>
    <w:rsid w:val="00F400A3"/>
    <w:rsid w:val="00F40A95"/>
    <w:rsid w:val="00F4346B"/>
    <w:rsid w:val="00F5179A"/>
    <w:rsid w:val="00F550A1"/>
    <w:rsid w:val="00F64783"/>
    <w:rsid w:val="00F6696F"/>
    <w:rsid w:val="00F8320B"/>
    <w:rsid w:val="00F8370A"/>
    <w:rsid w:val="00F91010"/>
    <w:rsid w:val="00F92347"/>
    <w:rsid w:val="00FC2933"/>
    <w:rsid w:val="00FD3494"/>
    <w:rsid w:val="00FE5059"/>
    <w:rsid w:val="00FE5D9E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96BEC6-B5DE-4D59-A4CF-D7F34AD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E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A2CC-641C-48BC-A308-09705589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信息运维人员03</dc:creator>
  <cp:keywords/>
  <dc:description/>
  <cp:lastModifiedBy>陈东梅</cp:lastModifiedBy>
  <cp:revision>2</cp:revision>
  <dcterms:created xsi:type="dcterms:W3CDTF">2020-06-05T06:32:00Z</dcterms:created>
  <dcterms:modified xsi:type="dcterms:W3CDTF">2020-06-05T06:32:00Z</dcterms:modified>
</cp:coreProperties>
</file>