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BAAC7" w14:textId="77777777" w:rsidR="00876A4F" w:rsidRPr="00876A4F" w:rsidRDefault="00876A4F" w:rsidP="00CB7A13">
      <w:pPr>
        <w:spacing w:afterLines="100" w:after="312" w:line="360" w:lineRule="auto"/>
        <w:jc w:val="center"/>
        <w:rPr>
          <w:rFonts w:ascii="方正小标宋简体" w:eastAsia="方正小标宋简体" w:hAnsi="Times New Roman"/>
          <w:sz w:val="36"/>
        </w:rPr>
      </w:pPr>
      <w:r w:rsidRPr="00876A4F">
        <w:rPr>
          <w:rFonts w:ascii="方正小标宋简体" w:eastAsia="方正小标宋简体" w:hAnsi="Times New Roman" w:hint="eastAsia"/>
          <w:sz w:val="36"/>
        </w:rPr>
        <w:t>《窄治疗指数药物生物等效性研究技术指导原则</w:t>
      </w:r>
      <w:r w:rsidRPr="00876A4F">
        <w:rPr>
          <w:rFonts w:ascii="方正小标宋简体" w:eastAsia="方正小标宋简体" w:hAnsi="Times New Roman"/>
          <w:sz w:val="36"/>
        </w:rPr>
        <w:br/>
      </w:r>
      <w:r w:rsidRPr="00876A4F">
        <w:rPr>
          <w:rFonts w:ascii="方正小标宋简体" w:eastAsia="方正小标宋简体" w:hAnsi="Times New Roman" w:hint="eastAsia"/>
          <w:sz w:val="36"/>
        </w:rPr>
        <w:t>（征求</w:t>
      </w:r>
      <w:r w:rsidRPr="00876A4F">
        <w:rPr>
          <w:rFonts w:ascii="方正小标宋简体" w:eastAsia="方正小标宋简体" w:hAnsi="Times New Roman"/>
          <w:sz w:val="36"/>
        </w:rPr>
        <w:t>意见稿）</w:t>
      </w:r>
      <w:r w:rsidRPr="00876A4F">
        <w:rPr>
          <w:rFonts w:ascii="方正小标宋简体" w:eastAsia="方正小标宋简体" w:hAnsi="Times New Roman" w:hint="eastAsia"/>
          <w:sz w:val="36"/>
        </w:rPr>
        <w:t>》起草说明</w:t>
      </w:r>
    </w:p>
    <w:p w14:paraId="36934D50" w14:textId="77777777" w:rsidR="00876A4F" w:rsidRPr="00876A4F" w:rsidRDefault="00876A4F" w:rsidP="00876A4F">
      <w:pPr>
        <w:spacing w:line="360" w:lineRule="auto"/>
        <w:ind w:firstLineChars="200" w:firstLine="640"/>
        <w:rPr>
          <w:rFonts w:ascii="仿宋_GB2312" w:eastAsia="仿宋_GB2312" w:hAnsi="Times New Roman"/>
          <w:sz w:val="32"/>
        </w:rPr>
      </w:pPr>
      <w:r w:rsidRPr="00876A4F">
        <w:rPr>
          <w:rFonts w:ascii="仿宋_GB2312" w:eastAsia="仿宋_GB2312" w:hAnsi="Times New Roman" w:hint="eastAsia"/>
          <w:sz w:val="32"/>
        </w:rPr>
        <w:t>为</w:t>
      </w:r>
      <w:r w:rsidRPr="00876A4F">
        <w:rPr>
          <w:rFonts w:ascii="仿宋_GB2312" w:eastAsia="仿宋_GB2312" w:hAnsi="Times New Roman"/>
          <w:sz w:val="32"/>
        </w:rPr>
        <w:t>保障仿制药一致性评价工作的顺利开展，进一步规范和指导窄治疗指数药物开展以药动学参数为主要终点指标的生物等效性研究，提供可参考的技术规范，药品审评中心组织起草了</w:t>
      </w:r>
      <w:r w:rsidRPr="00876A4F">
        <w:rPr>
          <w:rFonts w:ascii="仿宋_GB2312" w:eastAsia="仿宋_GB2312" w:hAnsi="Times New Roman" w:hint="eastAsia"/>
          <w:sz w:val="32"/>
        </w:rPr>
        <w:t>《窄治疗指数药物生物等效性研究技术指导原则（</w:t>
      </w:r>
      <w:r w:rsidRPr="00876A4F">
        <w:rPr>
          <w:rFonts w:ascii="仿宋_GB2312" w:eastAsia="仿宋_GB2312" w:hAnsi="Times New Roman"/>
          <w:sz w:val="32"/>
        </w:rPr>
        <w:t>征求意见稿</w:t>
      </w:r>
      <w:r w:rsidRPr="00876A4F">
        <w:rPr>
          <w:rFonts w:ascii="仿宋_GB2312" w:eastAsia="仿宋_GB2312" w:hAnsi="Times New Roman" w:hint="eastAsia"/>
          <w:sz w:val="32"/>
        </w:rPr>
        <w:t>）》。</w:t>
      </w:r>
      <w:r w:rsidRPr="00876A4F">
        <w:rPr>
          <w:rFonts w:ascii="仿宋_GB2312" w:eastAsia="仿宋_GB2312" w:hAnsi="Times New Roman"/>
          <w:sz w:val="32"/>
        </w:rPr>
        <w:t>现将</w:t>
      </w:r>
      <w:r w:rsidRPr="00876A4F">
        <w:rPr>
          <w:rFonts w:ascii="仿宋_GB2312" w:eastAsia="仿宋_GB2312" w:hAnsi="Times New Roman" w:hint="eastAsia"/>
          <w:sz w:val="32"/>
        </w:rPr>
        <w:t>有关</w:t>
      </w:r>
      <w:r w:rsidRPr="00876A4F">
        <w:rPr>
          <w:rFonts w:ascii="仿宋_GB2312" w:eastAsia="仿宋_GB2312" w:hAnsi="Times New Roman"/>
          <w:sz w:val="32"/>
        </w:rPr>
        <w:t>情况说明如下：</w:t>
      </w:r>
    </w:p>
    <w:p w14:paraId="4C09D8AB" w14:textId="77777777" w:rsidR="00876A4F" w:rsidRPr="00876A4F" w:rsidRDefault="00876A4F" w:rsidP="00876A4F">
      <w:pPr>
        <w:keepNext/>
        <w:spacing w:line="360" w:lineRule="auto"/>
        <w:ind w:firstLineChars="200" w:firstLine="640"/>
        <w:outlineLvl w:val="0"/>
        <w:rPr>
          <w:rFonts w:ascii="黑体" w:eastAsia="黑体" w:hAnsi="黑体"/>
          <w:sz w:val="32"/>
        </w:rPr>
      </w:pPr>
      <w:r w:rsidRPr="00876A4F">
        <w:rPr>
          <w:rFonts w:ascii="黑体" w:eastAsia="黑体" w:hAnsi="黑体" w:hint="eastAsia"/>
          <w:sz w:val="32"/>
        </w:rPr>
        <w:t>一</w:t>
      </w:r>
      <w:r w:rsidRPr="00876A4F">
        <w:rPr>
          <w:rFonts w:ascii="黑体" w:eastAsia="黑体" w:hAnsi="黑体"/>
          <w:sz w:val="32"/>
        </w:rPr>
        <w:t>、</w:t>
      </w:r>
      <w:r w:rsidRPr="00876A4F">
        <w:rPr>
          <w:rFonts w:ascii="黑体" w:eastAsia="黑体" w:hAnsi="黑体" w:hint="eastAsia"/>
          <w:sz w:val="32"/>
        </w:rPr>
        <w:t>背景和</w:t>
      </w:r>
      <w:r w:rsidRPr="00876A4F">
        <w:rPr>
          <w:rFonts w:ascii="黑体" w:eastAsia="黑体" w:hAnsi="黑体"/>
          <w:sz w:val="32"/>
        </w:rPr>
        <w:t>目的</w:t>
      </w:r>
    </w:p>
    <w:p w14:paraId="30C9F376"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Narrow therapeutic index</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sz w:val="32"/>
          <w:szCs w:val="24"/>
        </w:rPr>
        <w:t>NTI</w:t>
      </w:r>
      <w:r w:rsidRPr="00876A4F">
        <w:rPr>
          <w:rFonts w:ascii="Times New Roman" w:eastAsia="仿宋_GB2312" w:hAnsi="Times New Roman" w:cs="Times New Roman"/>
          <w:sz w:val="32"/>
          <w:szCs w:val="24"/>
        </w:rPr>
        <w:t>）药物</w:t>
      </w:r>
      <w:r w:rsidRPr="00876A4F">
        <w:rPr>
          <w:rFonts w:ascii="Times New Roman" w:eastAsia="仿宋_GB2312" w:hAnsi="Times New Roman" w:cs="Times New Roman" w:hint="eastAsia"/>
          <w:sz w:val="32"/>
          <w:szCs w:val="24"/>
        </w:rPr>
        <w:t>或</w:t>
      </w:r>
      <w:r w:rsidRPr="00876A4F">
        <w:rPr>
          <w:rFonts w:ascii="Times New Roman" w:eastAsia="仿宋_GB2312" w:hAnsi="Times New Roman" w:cs="Times New Roman"/>
          <w:sz w:val="32"/>
          <w:szCs w:val="24"/>
        </w:rPr>
        <w:t>窄治疗窗药物</w:t>
      </w:r>
      <w:r w:rsidRPr="00876A4F">
        <w:rPr>
          <w:rFonts w:ascii="Times New Roman" w:eastAsia="仿宋_GB2312" w:hAnsi="Times New Roman" w:cs="Times New Roman" w:hint="eastAsia"/>
          <w:sz w:val="32"/>
          <w:szCs w:val="24"/>
        </w:rPr>
        <w:t>一般是指</w:t>
      </w:r>
      <w:r w:rsidRPr="00876A4F">
        <w:rPr>
          <w:rFonts w:ascii="Times New Roman" w:eastAsia="仿宋_GB2312" w:hAnsi="Times New Roman" w:cs="Times New Roman"/>
          <w:sz w:val="32"/>
          <w:szCs w:val="24"/>
        </w:rPr>
        <w:t>剂量或血药浓度的微小变化</w:t>
      </w:r>
      <w:r w:rsidRPr="00876A4F">
        <w:rPr>
          <w:rFonts w:ascii="Times New Roman" w:eastAsia="仿宋_GB2312" w:hAnsi="Times New Roman" w:cs="Times New Roman" w:hint="eastAsia"/>
          <w:sz w:val="32"/>
          <w:szCs w:val="24"/>
        </w:rPr>
        <w:t>即</w:t>
      </w:r>
      <w:r w:rsidRPr="00876A4F">
        <w:rPr>
          <w:rFonts w:ascii="Times New Roman" w:eastAsia="仿宋_GB2312" w:hAnsi="Times New Roman" w:cs="Times New Roman"/>
          <w:sz w:val="32"/>
          <w:szCs w:val="24"/>
        </w:rPr>
        <w:t>可能导致治疗失败和</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sz w:val="32"/>
          <w:szCs w:val="24"/>
        </w:rPr>
        <w:t>或严重不良反应</w:t>
      </w:r>
      <w:r w:rsidRPr="00876A4F">
        <w:rPr>
          <w:rFonts w:ascii="Times New Roman" w:eastAsia="仿宋_GB2312" w:hAnsi="Times New Roman" w:cs="Times New Roman" w:hint="eastAsia"/>
          <w:sz w:val="32"/>
          <w:szCs w:val="24"/>
        </w:rPr>
        <w:t>，进</w:t>
      </w:r>
      <w:r w:rsidRPr="00876A4F">
        <w:rPr>
          <w:rFonts w:ascii="Times New Roman" w:eastAsia="仿宋_GB2312" w:hAnsi="Times New Roman" w:cs="Times New Roman"/>
          <w:sz w:val="32"/>
          <w:szCs w:val="24"/>
        </w:rPr>
        <w:t>而危及生命</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或者导致永久或严重的残疾或功能丧失</w:t>
      </w:r>
      <w:r w:rsidRPr="00876A4F">
        <w:rPr>
          <w:rFonts w:ascii="Times New Roman" w:eastAsia="仿宋_GB2312" w:hAnsi="Times New Roman" w:cs="Times New Roman" w:hint="eastAsia"/>
          <w:sz w:val="32"/>
          <w:szCs w:val="24"/>
        </w:rPr>
        <w:t>的药物</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hint="eastAsia"/>
          <w:sz w:val="32"/>
          <w:szCs w:val="24"/>
        </w:rPr>
        <w:t>与</w:t>
      </w:r>
      <w:r w:rsidRPr="00876A4F">
        <w:rPr>
          <w:rFonts w:ascii="Times New Roman" w:eastAsia="仿宋_GB2312" w:hAnsi="Times New Roman" w:cs="Times New Roman"/>
          <w:sz w:val="32"/>
          <w:szCs w:val="24"/>
        </w:rPr>
        <w:t>一般化学药物相比，窄治疗指数药物</w:t>
      </w:r>
      <w:r w:rsidRPr="00876A4F">
        <w:rPr>
          <w:rFonts w:ascii="Times New Roman" w:eastAsia="仿宋_GB2312" w:hAnsi="Times New Roman" w:cs="Times New Roman" w:hint="eastAsia"/>
          <w:sz w:val="32"/>
          <w:szCs w:val="24"/>
        </w:rPr>
        <w:t>进行</w:t>
      </w:r>
      <w:r w:rsidRPr="00876A4F">
        <w:rPr>
          <w:rFonts w:ascii="Times New Roman" w:eastAsia="仿宋_GB2312" w:hAnsi="Times New Roman" w:cs="Times New Roman"/>
          <w:sz w:val="32"/>
          <w:szCs w:val="24"/>
        </w:rPr>
        <w:t>生物</w:t>
      </w:r>
      <w:r w:rsidRPr="00876A4F">
        <w:rPr>
          <w:rFonts w:ascii="Times New Roman" w:eastAsia="仿宋_GB2312" w:hAnsi="Times New Roman" w:cs="Times New Roman" w:hint="eastAsia"/>
          <w:sz w:val="32"/>
          <w:szCs w:val="24"/>
        </w:rPr>
        <w:t>等效性</w:t>
      </w:r>
      <w:r w:rsidRPr="00876A4F">
        <w:rPr>
          <w:rFonts w:ascii="Times New Roman" w:eastAsia="仿宋_GB2312" w:hAnsi="Times New Roman" w:cs="Times New Roman"/>
          <w:sz w:val="32"/>
          <w:szCs w:val="24"/>
        </w:rPr>
        <w:t>评价</w:t>
      </w:r>
      <w:r w:rsidRPr="00876A4F">
        <w:rPr>
          <w:rFonts w:ascii="Times New Roman" w:eastAsia="仿宋_GB2312" w:hAnsi="Times New Roman" w:cs="Times New Roman" w:hint="eastAsia"/>
          <w:sz w:val="32"/>
          <w:szCs w:val="24"/>
        </w:rPr>
        <w:t>时，应</w:t>
      </w:r>
      <w:r w:rsidRPr="00876A4F">
        <w:rPr>
          <w:rFonts w:ascii="Times New Roman" w:eastAsia="仿宋_GB2312" w:hAnsi="Times New Roman" w:cs="Times New Roman"/>
          <w:sz w:val="32"/>
          <w:szCs w:val="24"/>
        </w:rPr>
        <w:t>采用更严格的等效性判定标准，以</w:t>
      </w:r>
      <w:r w:rsidRPr="00876A4F">
        <w:rPr>
          <w:rFonts w:ascii="Times New Roman" w:eastAsia="仿宋_GB2312" w:hAnsi="Times New Roman" w:cs="Times New Roman" w:hint="eastAsia"/>
          <w:sz w:val="32"/>
          <w:szCs w:val="24"/>
        </w:rPr>
        <w:t>控制</w:t>
      </w:r>
      <w:r w:rsidRPr="00876A4F">
        <w:rPr>
          <w:rFonts w:ascii="Times New Roman" w:eastAsia="仿宋_GB2312" w:hAnsi="Times New Roman" w:cs="Times New Roman"/>
          <w:sz w:val="32"/>
          <w:szCs w:val="24"/>
        </w:rPr>
        <w:t>有效性和安全性</w:t>
      </w:r>
      <w:r w:rsidRPr="00876A4F">
        <w:rPr>
          <w:rFonts w:ascii="Times New Roman" w:eastAsia="仿宋_GB2312" w:hAnsi="Times New Roman" w:cs="Times New Roman" w:hint="eastAsia"/>
          <w:sz w:val="32"/>
          <w:szCs w:val="24"/>
        </w:rPr>
        <w:t>方面</w:t>
      </w:r>
      <w:r w:rsidRPr="00876A4F">
        <w:rPr>
          <w:rFonts w:ascii="Times New Roman" w:eastAsia="仿宋_GB2312" w:hAnsi="Times New Roman" w:cs="Times New Roman"/>
          <w:sz w:val="32"/>
          <w:szCs w:val="24"/>
        </w:rPr>
        <w:t>的风险。</w:t>
      </w:r>
    </w:p>
    <w:p w14:paraId="4E8DB974" w14:textId="77777777" w:rsidR="00876A4F" w:rsidRPr="00876A4F" w:rsidRDefault="00876A4F" w:rsidP="00876A4F">
      <w:pPr>
        <w:spacing w:line="360" w:lineRule="auto"/>
        <w:ind w:firstLineChars="200" w:firstLine="640"/>
        <w:rPr>
          <w:rFonts w:ascii="Times New Roman" w:eastAsia="仿宋_GB2312" w:hAnsi="Times New Roman" w:cs="Times New Roman"/>
          <w:sz w:val="32"/>
        </w:rPr>
      </w:pPr>
      <w:r w:rsidRPr="00876A4F">
        <w:rPr>
          <w:rFonts w:ascii="Times New Roman" w:eastAsia="仿宋_GB2312" w:hAnsi="Times New Roman" w:cs="Times New Roman" w:hint="eastAsia"/>
          <w:sz w:val="32"/>
        </w:rPr>
        <w:t>原</w:t>
      </w:r>
      <w:r w:rsidRPr="00876A4F">
        <w:rPr>
          <w:rFonts w:ascii="Times New Roman" w:eastAsia="仿宋_GB2312" w:hAnsi="Times New Roman" w:cs="Times New Roman"/>
          <w:sz w:val="32"/>
        </w:rPr>
        <w:t>国家食品药品监督管理总局于</w:t>
      </w:r>
      <w:r w:rsidRPr="00876A4F">
        <w:rPr>
          <w:rFonts w:ascii="Times New Roman" w:eastAsia="仿宋_GB2312" w:hAnsi="Times New Roman" w:cs="Times New Roman" w:hint="eastAsia"/>
          <w:sz w:val="32"/>
        </w:rPr>
        <w:t>2016</w:t>
      </w:r>
      <w:r w:rsidRPr="00876A4F">
        <w:rPr>
          <w:rFonts w:ascii="Times New Roman" w:eastAsia="仿宋_GB2312" w:hAnsi="Times New Roman" w:cs="Times New Roman" w:hint="eastAsia"/>
          <w:sz w:val="32"/>
        </w:rPr>
        <w:t>年</w:t>
      </w:r>
      <w:r w:rsidRPr="00876A4F">
        <w:rPr>
          <w:rFonts w:ascii="Times New Roman" w:eastAsia="仿宋_GB2312" w:hAnsi="Times New Roman" w:cs="Times New Roman" w:hint="eastAsia"/>
          <w:sz w:val="32"/>
        </w:rPr>
        <w:t>3</w:t>
      </w:r>
      <w:r w:rsidRPr="00876A4F">
        <w:rPr>
          <w:rFonts w:ascii="Times New Roman" w:eastAsia="仿宋_GB2312" w:hAnsi="Times New Roman" w:cs="Times New Roman" w:hint="eastAsia"/>
          <w:sz w:val="32"/>
        </w:rPr>
        <w:t>月</w:t>
      </w:r>
      <w:r w:rsidRPr="00876A4F">
        <w:rPr>
          <w:rFonts w:ascii="Times New Roman" w:eastAsia="仿宋_GB2312" w:hAnsi="Times New Roman" w:cs="Times New Roman"/>
          <w:sz w:val="32"/>
        </w:rPr>
        <w:t>发布</w:t>
      </w:r>
      <w:r w:rsidRPr="00876A4F">
        <w:rPr>
          <w:rFonts w:ascii="Times New Roman" w:eastAsia="仿宋_GB2312" w:hAnsi="Times New Roman" w:cs="Times New Roman" w:hint="eastAsia"/>
          <w:sz w:val="32"/>
        </w:rPr>
        <w:t>《以药动学参数为终点评价指标的化学药物仿制药人体生物等效性研究技术指导原则》，其中要求“对于窄治疗窗药物，应根据药物的特性适当缩小</w:t>
      </w:r>
      <w:r w:rsidRPr="00876A4F">
        <w:rPr>
          <w:rFonts w:ascii="Times New Roman" w:eastAsia="仿宋_GB2312" w:hAnsi="Times New Roman" w:cs="Times New Roman" w:hint="eastAsia"/>
          <w:sz w:val="32"/>
        </w:rPr>
        <w:t>90%</w:t>
      </w:r>
      <w:r w:rsidRPr="00876A4F">
        <w:rPr>
          <w:rFonts w:ascii="Times New Roman" w:eastAsia="仿宋_GB2312" w:hAnsi="Times New Roman" w:cs="Times New Roman" w:hint="eastAsia"/>
          <w:sz w:val="32"/>
        </w:rPr>
        <w:t>置信区间范围”。</w:t>
      </w:r>
      <w:r w:rsidRPr="00876A4F">
        <w:rPr>
          <w:rFonts w:ascii="仿宋_GB2312" w:eastAsia="仿宋_GB2312" w:hAnsi="Times New Roman" w:hint="eastAsia"/>
          <w:sz w:val="32"/>
        </w:rPr>
        <w:t>《窄治疗指数药物生物等效性研究技术指导原则》</w:t>
      </w:r>
      <w:r w:rsidRPr="00876A4F">
        <w:rPr>
          <w:rFonts w:ascii="Times New Roman" w:eastAsia="仿宋_GB2312" w:hAnsi="Times New Roman" w:cs="Times New Roman" w:hint="eastAsia"/>
          <w:sz w:val="32"/>
        </w:rPr>
        <w:t>作为上述</w:t>
      </w:r>
      <w:r w:rsidRPr="00876A4F">
        <w:rPr>
          <w:rFonts w:ascii="Times New Roman" w:eastAsia="仿宋_GB2312" w:hAnsi="Times New Roman" w:cs="Times New Roman"/>
          <w:sz w:val="32"/>
        </w:rPr>
        <w:t>指导原则</w:t>
      </w:r>
      <w:r w:rsidRPr="00876A4F">
        <w:rPr>
          <w:rFonts w:ascii="Times New Roman" w:eastAsia="仿宋_GB2312" w:hAnsi="Times New Roman" w:cs="Times New Roman" w:hint="eastAsia"/>
          <w:sz w:val="32"/>
        </w:rPr>
        <w:t>及其他生物等效性</w:t>
      </w:r>
      <w:r w:rsidRPr="00876A4F">
        <w:rPr>
          <w:rFonts w:ascii="Times New Roman" w:eastAsia="仿宋_GB2312" w:hAnsi="Times New Roman" w:cs="Times New Roman"/>
          <w:sz w:val="32"/>
        </w:rPr>
        <w:t>研究相关指导原则</w:t>
      </w:r>
      <w:r w:rsidRPr="00876A4F">
        <w:rPr>
          <w:rFonts w:ascii="Times New Roman" w:eastAsia="仿宋_GB2312" w:hAnsi="Times New Roman" w:cs="Times New Roman" w:hint="eastAsia"/>
          <w:sz w:val="32"/>
        </w:rPr>
        <w:t>的补充，旨在为窄治疗指数药物开展以药动学参数为主要终点指标的生物等效性研究时，如何进行研究设计、统计分析、结果报告等提供技术指</w:t>
      </w:r>
      <w:r w:rsidRPr="00876A4F">
        <w:rPr>
          <w:rFonts w:ascii="Times New Roman" w:eastAsia="仿宋_GB2312" w:hAnsi="Times New Roman" w:cs="Times New Roman" w:hint="eastAsia"/>
          <w:sz w:val="32"/>
        </w:rPr>
        <w:lastRenderedPageBreak/>
        <w:t>导。</w:t>
      </w:r>
    </w:p>
    <w:p w14:paraId="2E106AD6" w14:textId="77777777" w:rsidR="00876A4F" w:rsidRPr="00876A4F" w:rsidRDefault="00876A4F" w:rsidP="00876A4F">
      <w:pPr>
        <w:keepNext/>
        <w:spacing w:line="360" w:lineRule="auto"/>
        <w:ind w:firstLineChars="200" w:firstLine="640"/>
        <w:outlineLvl w:val="0"/>
        <w:rPr>
          <w:rFonts w:ascii="黑体" w:eastAsia="黑体" w:hAnsi="黑体"/>
          <w:sz w:val="32"/>
        </w:rPr>
      </w:pPr>
      <w:r w:rsidRPr="00876A4F">
        <w:rPr>
          <w:rFonts w:ascii="黑体" w:eastAsia="黑体" w:hAnsi="黑体" w:hint="eastAsia"/>
          <w:sz w:val="32"/>
        </w:rPr>
        <w:t>二、起草过程</w:t>
      </w:r>
    </w:p>
    <w:p w14:paraId="46DF6976" w14:textId="77777777" w:rsidR="00876A4F" w:rsidRPr="00876A4F" w:rsidRDefault="00876A4F" w:rsidP="00876A4F">
      <w:pPr>
        <w:spacing w:line="360" w:lineRule="auto"/>
        <w:ind w:firstLineChars="200" w:firstLine="640"/>
        <w:rPr>
          <w:rFonts w:ascii="Times New Roman" w:eastAsia="仿宋_GB2312" w:hAnsi="Times New Roman" w:cs="Times New Roman"/>
          <w:sz w:val="32"/>
        </w:rPr>
      </w:pPr>
      <w:r w:rsidRPr="00876A4F">
        <w:rPr>
          <w:rFonts w:ascii="Times New Roman" w:eastAsia="仿宋_GB2312" w:hAnsi="Times New Roman" w:cs="Times New Roman" w:hint="eastAsia"/>
          <w:sz w:val="32"/>
        </w:rPr>
        <w:t>本指导原则</w:t>
      </w:r>
      <w:r w:rsidRPr="00876A4F">
        <w:rPr>
          <w:rFonts w:ascii="Times New Roman" w:eastAsia="仿宋_GB2312" w:hAnsi="Times New Roman" w:cs="Times New Roman"/>
          <w:sz w:val="32"/>
        </w:rPr>
        <w:t>的起草工作自</w:t>
      </w:r>
      <w:r w:rsidRPr="00876A4F">
        <w:rPr>
          <w:rFonts w:ascii="Times New Roman" w:eastAsia="仿宋_GB2312" w:hAnsi="Times New Roman" w:cs="Times New Roman" w:hint="eastAsia"/>
          <w:sz w:val="32"/>
        </w:rPr>
        <w:t>2020</w:t>
      </w:r>
      <w:r w:rsidRPr="00876A4F">
        <w:rPr>
          <w:rFonts w:ascii="Times New Roman" w:eastAsia="仿宋_GB2312" w:hAnsi="Times New Roman" w:cs="Times New Roman" w:hint="eastAsia"/>
          <w:sz w:val="32"/>
        </w:rPr>
        <w:t>年</w:t>
      </w:r>
      <w:r w:rsidRPr="00876A4F">
        <w:rPr>
          <w:rFonts w:ascii="Times New Roman" w:eastAsia="仿宋_GB2312" w:hAnsi="Times New Roman" w:cs="Times New Roman"/>
          <w:sz w:val="32"/>
        </w:rPr>
        <w:t>启动</w:t>
      </w:r>
      <w:r w:rsidRPr="00876A4F">
        <w:rPr>
          <w:rFonts w:ascii="Times New Roman" w:eastAsia="仿宋_GB2312" w:hAnsi="Times New Roman" w:cs="Times New Roman" w:hint="eastAsia"/>
          <w:sz w:val="32"/>
        </w:rPr>
        <w:t>。核心工作组经过</w:t>
      </w:r>
      <w:r w:rsidRPr="00876A4F">
        <w:rPr>
          <w:rFonts w:ascii="Times New Roman" w:eastAsia="仿宋_GB2312" w:hAnsi="Times New Roman" w:cs="Times New Roman"/>
          <w:sz w:val="32"/>
        </w:rPr>
        <w:t>充分调研</w:t>
      </w:r>
      <w:r w:rsidRPr="00876A4F">
        <w:rPr>
          <w:rFonts w:ascii="Times New Roman" w:eastAsia="仿宋_GB2312" w:hAnsi="Times New Roman" w:cs="Times New Roman" w:hint="eastAsia"/>
          <w:sz w:val="32"/>
        </w:rPr>
        <w:t>行业现状</w:t>
      </w:r>
      <w:r w:rsidRPr="00876A4F">
        <w:rPr>
          <w:rFonts w:ascii="Times New Roman" w:eastAsia="仿宋_GB2312" w:hAnsi="Times New Roman" w:cs="Times New Roman"/>
          <w:sz w:val="32"/>
        </w:rPr>
        <w:t>及国外发达监管机构的相关技术要求</w:t>
      </w:r>
      <w:r w:rsidRPr="00876A4F">
        <w:rPr>
          <w:rFonts w:ascii="Times New Roman" w:eastAsia="仿宋_GB2312" w:hAnsi="Times New Roman" w:cs="Times New Roman" w:hint="eastAsia"/>
          <w:sz w:val="32"/>
        </w:rPr>
        <w:t>后</w:t>
      </w:r>
      <w:r w:rsidRPr="00876A4F">
        <w:rPr>
          <w:rFonts w:ascii="Times New Roman" w:eastAsia="仿宋_GB2312" w:hAnsi="Times New Roman" w:cs="Times New Roman"/>
          <w:sz w:val="32"/>
        </w:rPr>
        <w:t>，形成指导原则初稿</w:t>
      </w:r>
      <w:r w:rsidRPr="00876A4F">
        <w:rPr>
          <w:rFonts w:ascii="Times New Roman" w:eastAsia="仿宋_GB2312" w:hAnsi="Times New Roman" w:cs="Times New Roman" w:hint="eastAsia"/>
          <w:sz w:val="32"/>
        </w:rPr>
        <w:t>。</w:t>
      </w:r>
      <w:r w:rsidRPr="00876A4F">
        <w:rPr>
          <w:rFonts w:ascii="Times New Roman" w:eastAsia="仿宋_GB2312" w:hAnsi="Times New Roman" w:cs="Times New Roman"/>
          <w:sz w:val="32"/>
        </w:rPr>
        <w:t>于</w:t>
      </w:r>
      <w:r w:rsidRPr="00876A4F">
        <w:rPr>
          <w:rFonts w:ascii="Times New Roman" w:eastAsia="仿宋_GB2312" w:hAnsi="Times New Roman" w:cs="Times New Roman" w:hint="eastAsia"/>
          <w:sz w:val="32"/>
        </w:rPr>
        <w:t>2020</w:t>
      </w:r>
      <w:r w:rsidRPr="00876A4F">
        <w:rPr>
          <w:rFonts w:ascii="Times New Roman" w:eastAsia="仿宋_GB2312" w:hAnsi="Times New Roman" w:cs="Times New Roman" w:hint="eastAsia"/>
          <w:sz w:val="32"/>
        </w:rPr>
        <w:t>年</w:t>
      </w:r>
      <w:r w:rsidRPr="00876A4F">
        <w:rPr>
          <w:rFonts w:ascii="Times New Roman" w:eastAsia="仿宋_GB2312" w:hAnsi="Times New Roman" w:cs="Times New Roman" w:hint="eastAsia"/>
          <w:sz w:val="32"/>
        </w:rPr>
        <w:t>6</w:t>
      </w:r>
      <w:r w:rsidRPr="00876A4F">
        <w:rPr>
          <w:rFonts w:ascii="Times New Roman" w:eastAsia="仿宋_GB2312" w:hAnsi="Times New Roman" w:cs="Times New Roman" w:hint="eastAsia"/>
          <w:sz w:val="32"/>
        </w:rPr>
        <w:t>月</w:t>
      </w:r>
      <w:r w:rsidRPr="00876A4F">
        <w:rPr>
          <w:rFonts w:ascii="Times New Roman" w:eastAsia="仿宋_GB2312" w:hAnsi="Times New Roman" w:cs="Times New Roman"/>
          <w:sz w:val="32"/>
        </w:rPr>
        <w:t>召开研讨</w:t>
      </w:r>
      <w:r w:rsidRPr="00876A4F">
        <w:rPr>
          <w:rFonts w:ascii="Times New Roman" w:eastAsia="仿宋_GB2312" w:hAnsi="Times New Roman" w:cs="Times New Roman" w:hint="eastAsia"/>
          <w:sz w:val="32"/>
        </w:rPr>
        <w:t>和</w:t>
      </w:r>
      <w:r w:rsidRPr="00876A4F">
        <w:rPr>
          <w:rFonts w:ascii="Times New Roman" w:eastAsia="仿宋_GB2312" w:hAnsi="Times New Roman" w:cs="Times New Roman"/>
          <w:sz w:val="32"/>
        </w:rPr>
        <w:t>改稿会，</w:t>
      </w:r>
      <w:r w:rsidRPr="00876A4F">
        <w:rPr>
          <w:rFonts w:ascii="Times New Roman" w:eastAsia="仿宋_GB2312" w:hAnsi="Times New Roman" w:cs="Times New Roman" w:hint="eastAsia"/>
          <w:sz w:val="32"/>
        </w:rPr>
        <w:t>与</w:t>
      </w:r>
      <w:r w:rsidRPr="00876A4F">
        <w:rPr>
          <w:rFonts w:ascii="Times New Roman" w:eastAsia="仿宋_GB2312" w:hAnsi="Times New Roman" w:cs="Times New Roman"/>
          <w:sz w:val="32"/>
        </w:rPr>
        <w:t>临床药理和统计专家充分讨论，</w:t>
      </w:r>
      <w:r w:rsidRPr="00876A4F">
        <w:rPr>
          <w:rFonts w:ascii="Times New Roman" w:eastAsia="仿宋_GB2312" w:hAnsi="Times New Roman" w:cs="Times New Roman" w:hint="eastAsia"/>
          <w:sz w:val="32"/>
        </w:rPr>
        <w:t>并在</w:t>
      </w:r>
      <w:r w:rsidRPr="00876A4F">
        <w:rPr>
          <w:rFonts w:ascii="Times New Roman" w:eastAsia="仿宋_GB2312" w:hAnsi="Times New Roman" w:cs="Times New Roman"/>
          <w:sz w:val="32"/>
        </w:rPr>
        <w:t>吸收专家意见的基础上</w:t>
      </w:r>
      <w:r w:rsidRPr="00876A4F">
        <w:rPr>
          <w:rFonts w:ascii="Times New Roman" w:eastAsia="仿宋_GB2312" w:hAnsi="Times New Roman" w:cs="Times New Roman" w:hint="eastAsia"/>
          <w:sz w:val="32"/>
        </w:rPr>
        <w:t>形成</w:t>
      </w:r>
      <w:r w:rsidRPr="00876A4F">
        <w:rPr>
          <w:rFonts w:ascii="Times New Roman" w:eastAsia="仿宋_GB2312" w:hAnsi="Times New Roman" w:cs="Times New Roman"/>
          <w:sz w:val="32"/>
        </w:rPr>
        <w:t>征求意见稿</w:t>
      </w:r>
      <w:r w:rsidRPr="00876A4F">
        <w:rPr>
          <w:rFonts w:ascii="Times New Roman" w:eastAsia="仿宋_GB2312" w:hAnsi="Times New Roman" w:cs="Times New Roman" w:hint="eastAsia"/>
          <w:sz w:val="32"/>
        </w:rPr>
        <w:t>。</w:t>
      </w:r>
    </w:p>
    <w:p w14:paraId="03DDA5EB" w14:textId="77777777" w:rsidR="00876A4F" w:rsidRPr="00876A4F" w:rsidRDefault="00876A4F" w:rsidP="00876A4F">
      <w:pPr>
        <w:keepNext/>
        <w:spacing w:line="360" w:lineRule="auto"/>
        <w:ind w:firstLineChars="200" w:firstLine="640"/>
        <w:outlineLvl w:val="0"/>
        <w:rPr>
          <w:rFonts w:ascii="黑体" w:eastAsia="黑体" w:hAnsi="黑体"/>
          <w:sz w:val="32"/>
        </w:rPr>
      </w:pPr>
      <w:r w:rsidRPr="00876A4F">
        <w:rPr>
          <w:rFonts w:ascii="黑体" w:eastAsia="黑体" w:hAnsi="黑体" w:hint="eastAsia"/>
          <w:sz w:val="32"/>
        </w:rPr>
        <w:t>三</w:t>
      </w:r>
      <w:r w:rsidRPr="00876A4F">
        <w:rPr>
          <w:rFonts w:ascii="黑体" w:eastAsia="黑体" w:hAnsi="黑体"/>
          <w:sz w:val="32"/>
        </w:rPr>
        <w:t>、主要内</w:t>
      </w:r>
      <w:r w:rsidRPr="00876A4F">
        <w:rPr>
          <w:rFonts w:ascii="黑体" w:eastAsia="黑体" w:hAnsi="黑体" w:hint="eastAsia"/>
          <w:sz w:val="32"/>
        </w:rPr>
        <w:t>容</w:t>
      </w:r>
      <w:r w:rsidRPr="00876A4F">
        <w:rPr>
          <w:rFonts w:ascii="黑体" w:eastAsia="黑体" w:hAnsi="黑体"/>
          <w:sz w:val="32"/>
        </w:rPr>
        <w:t>与说明</w:t>
      </w:r>
    </w:p>
    <w:p w14:paraId="6932D7E0" w14:textId="77777777" w:rsidR="00876A4F" w:rsidRPr="00876A4F" w:rsidRDefault="00876A4F" w:rsidP="00876A4F">
      <w:pPr>
        <w:spacing w:line="360" w:lineRule="auto"/>
        <w:ind w:firstLineChars="200" w:firstLine="640"/>
        <w:rPr>
          <w:rFonts w:ascii="Times New Roman" w:eastAsia="仿宋_GB2312" w:hAnsi="Times New Roman" w:cs="Times New Roman"/>
          <w:sz w:val="32"/>
        </w:rPr>
      </w:pPr>
      <w:r w:rsidRPr="00876A4F">
        <w:rPr>
          <w:rFonts w:ascii="仿宋_GB2312" w:eastAsia="仿宋_GB2312" w:hAnsi="Times New Roman" w:hint="eastAsia"/>
          <w:sz w:val="32"/>
        </w:rPr>
        <w:t>本指导原则</w:t>
      </w:r>
      <w:r w:rsidRPr="00876A4F">
        <w:rPr>
          <w:rFonts w:ascii="Times New Roman" w:eastAsia="仿宋_GB2312" w:hAnsi="Times New Roman" w:cs="Times New Roman" w:hint="eastAsia"/>
          <w:sz w:val="32"/>
        </w:rPr>
        <w:t>主要内容包括研究总体设计、统计分析方法、结果报告及</w:t>
      </w:r>
      <w:r w:rsidRPr="00876A4F">
        <w:rPr>
          <w:rFonts w:ascii="Times New Roman" w:eastAsia="仿宋_GB2312" w:hAnsi="Times New Roman" w:cs="Times New Roman"/>
          <w:sz w:val="32"/>
        </w:rPr>
        <w:t>其他考虑</w:t>
      </w:r>
      <w:r w:rsidRPr="00876A4F">
        <w:rPr>
          <w:rFonts w:ascii="Times New Roman" w:eastAsia="仿宋_GB2312" w:hAnsi="Times New Roman" w:cs="Times New Roman" w:hint="eastAsia"/>
          <w:sz w:val="32"/>
        </w:rPr>
        <w:t>。本指导原则</w:t>
      </w:r>
      <w:r w:rsidRPr="00876A4F">
        <w:rPr>
          <w:rFonts w:ascii="Times New Roman" w:eastAsia="仿宋_GB2312" w:hAnsi="Times New Roman" w:cs="Times New Roman"/>
          <w:sz w:val="32"/>
        </w:rPr>
        <w:t>建议窄治疗指数药物的生物等效性研</w:t>
      </w:r>
      <w:r w:rsidRPr="00876A4F">
        <w:rPr>
          <w:rFonts w:ascii="Times New Roman" w:eastAsia="仿宋_GB2312" w:hAnsi="Times New Roman" w:cs="Times New Roman" w:hint="eastAsia"/>
          <w:sz w:val="32"/>
        </w:rPr>
        <w:t>究</w:t>
      </w:r>
      <w:r w:rsidRPr="00876A4F">
        <w:rPr>
          <w:rFonts w:ascii="Times New Roman" w:eastAsia="仿宋_GB2312" w:hAnsi="Times New Roman" w:cs="Times New Roman"/>
          <w:sz w:val="32"/>
        </w:rPr>
        <w:t>采用完全重复交叉设计，</w:t>
      </w:r>
      <w:r w:rsidRPr="00876A4F">
        <w:rPr>
          <w:rFonts w:ascii="Times New Roman" w:eastAsia="仿宋_GB2312" w:hAnsi="Times New Roman" w:cs="Times New Roman" w:hint="eastAsia"/>
          <w:sz w:val="32"/>
        </w:rPr>
        <w:t>以</w:t>
      </w:r>
      <w:r w:rsidRPr="00876A4F">
        <w:rPr>
          <w:rFonts w:ascii="Times New Roman" w:eastAsia="仿宋_GB2312" w:hAnsi="Times New Roman" w:cs="Times New Roman"/>
          <w:sz w:val="32"/>
        </w:rPr>
        <w:t>获得参比制剂和受试制剂的个体内变异</w:t>
      </w:r>
      <w:r w:rsidRPr="00876A4F">
        <w:rPr>
          <w:rFonts w:ascii="Times New Roman" w:eastAsia="仿宋_GB2312" w:hAnsi="Times New Roman" w:cs="Times New Roman" w:hint="eastAsia"/>
          <w:sz w:val="32"/>
        </w:rPr>
        <w:t>，进而同时从</w:t>
      </w:r>
      <w:r w:rsidRPr="00876A4F">
        <w:rPr>
          <w:rFonts w:ascii="Times New Roman" w:eastAsia="仿宋_GB2312" w:hAnsi="Times New Roman" w:cs="Times New Roman"/>
          <w:sz w:val="32"/>
        </w:rPr>
        <w:t>三方面</w:t>
      </w:r>
      <w:r w:rsidRPr="00876A4F">
        <w:rPr>
          <w:rFonts w:ascii="Times New Roman" w:eastAsia="仿宋_GB2312" w:hAnsi="Times New Roman" w:cs="Times New Roman"/>
          <w:sz w:val="32"/>
        </w:rPr>
        <w:t>——</w:t>
      </w:r>
      <w:r w:rsidRPr="00876A4F">
        <w:rPr>
          <w:rFonts w:ascii="Times New Roman" w:eastAsia="仿宋_GB2312" w:hAnsi="Times New Roman" w:cs="Times New Roman" w:hint="eastAsia"/>
          <w:sz w:val="32"/>
        </w:rPr>
        <w:t>1</w:t>
      </w:r>
      <w:r w:rsidRPr="00876A4F">
        <w:rPr>
          <w:rFonts w:ascii="Times New Roman" w:eastAsia="仿宋_GB2312" w:hAnsi="Times New Roman" w:cs="Times New Roman" w:hint="eastAsia"/>
          <w:sz w:val="32"/>
        </w:rPr>
        <w:t>）</w:t>
      </w:r>
      <w:r w:rsidRPr="00876A4F">
        <w:rPr>
          <w:rFonts w:ascii="Times New Roman" w:eastAsia="仿宋_GB2312" w:hAnsi="Times New Roman" w:cs="Times New Roman"/>
          <w:sz w:val="32"/>
        </w:rPr>
        <w:t>采用参比制剂标度的平均生物等效性方法评价等效性；</w:t>
      </w:r>
      <w:r w:rsidRPr="00876A4F">
        <w:rPr>
          <w:rFonts w:ascii="Times New Roman" w:eastAsia="仿宋_GB2312" w:hAnsi="Times New Roman" w:cs="Times New Roman"/>
          <w:sz w:val="32"/>
        </w:rPr>
        <w:t>2</w:t>
      </w:r>
      <w:r w:rsidRPr="00876A4F">
        <w:rPr>
          <w:rFonts w:ascii="Times New Roman" w:eastAsia="仿宋_GB2312" w:hAnsi="Times New Roman" w:cs="Times New Roman" w:hint="eastAsia"/>
          <w:sz w:val="32"/>
        </w:rPr>
        <w:t>）</w:t>
      </w:r>
      <w:r w:rsidRPr="00876A4F">
        <w:rPr>
          <w:rFonts w:ascii="Times New Roman" w:eastAsia="仿宋_GB2312" w:hAnsi="Times New Roman" w:cs="Times New Roman"/>
          <w:sz w:val="32"/>
        </w:rPr>
        <w:t>采用</w:t>
      </w:r>
      <w:r w:rsidRPr="00876A4F">
        <w:rPr>
          <w:rFonts w:ascii="Times New Roman" w:eastAsia="仿宋_GB2312" w:hAnsi="Times New Roman" w:cs="Times New Roman" w:hint="eastAsia"/>
          <w:sz w:val="32"/>
        </w:rPr>
        <w:t>平均</w:t>
      </w:r>
      <w:r w:rsidRPr="00876A4F">
        <w:rPr>
          <w:rFonts w:ascii="Times New Roman" w:eastAsia="仿宋_GB2312" w:hAnsi="Times New Roman" w:cs="Times New Roman"/>
          <w:sz w:val="32"/>
        </w:rPr>
        <w:t>生物等效性方法评价等效性；</w:t>
      </w:r>
      <w:r w:rsidRPr="00876A4F">
        <w:rPr>
          <w:rFonts w:ascii="Times New Roman" w:eastAsia="仿宋_GB2312" w:hAnsi="Times New Roman" w:cs="Times New Roman"/>
          <w:sz w:val="32"/>
        </w:rPr>
        <w:t>3</w:t>
      </w:r>
      <w:r w:rsidRPr="00876A4F">
        <w:rPr>
          <w:rFonts w:ascii="Times New Roman" w:eastAsia="仿宋_GB2312" w:hAnsi="Times New Roman" w:cs="Times New Roman" w:hint="eastAsia"/>
          <w:sz w:val="32"/>
        </w:rPr>
        <w:t>）比较</w:t>
      </w:r>
      <w:r w:rsidRPr="00876A4F">
        <w:rPr>
          <w:rFonts w:ascii="Times New Roman" w:eastAsia="仿宋_GB2312" w:hAnsi="Times New Roman" w:cs="Times New Roman"/>
          <w:sz w:val="32"/>
        </w:rPr>
        <w:t>受试制剂与参比制剂的个体内标准差</w:t>
      </w:r>
      <w:r w:rsidRPr="00876A4F">
        <w:rPr>
          <w:rFonts w:ascii="Times New Roman" w:eastAsia="仿宋_GB2312" w:hAnsi="Times New Roman" w:cs="Times New Roman" w:hint="eastAsia"/>
          <w:sz w:val="32"/>
        </w:rPr>
        <w:t>，评价受试制剂</w:t>
      </w:r>
      <w:r w:rsidRPr="00876A4F">
        <w:rPr>
          <w:rFonts w:ascii="Times New Roman" w:eastAsia="仿宋_GB2312" w:hAnsi="Times New Roman" w:cs="Times New Roman"/>
          <w:sz w:val="32"/>
        </w:rPr>
        <w:t>与参比制剂的生物等效性。</w:t>
      </w:r>
    </w:p>
    <w:p w14:paraId="5E908C5B" w14:textId="77777777" w:rsidR="00876A4F" w:rsidRPr="00876A4F" w:rsidRDefault="00876A4F" w:rsidP="00876A4F">
      <w:pPr>
        <w:spacing w:line="360" w:lineRule="auto"/>
        <w:ind w:firstLineChars="200" w:firstLine="640"/>
        <w:rPr>
          <w:rFonts w:ascii="Times New Roman" w:eastAsia="仿宋_GB2312" w:hAnsi="Times New Roman" w:cs="Times New Roman"/>
          <w:sz w:val="32"/>
        </w:rPr>
      </w:pPr>
      <w:r w:rsidRPr="00876A4F">
        <w:rPr>
          <w:rFonts w:ascii="Times New Roman" w:eastAsia="仿宋_GB2312" w:hAnsi="Times New Roman" w:cs="Times New Roman" w:hint="eastAsia"/>
          <w:sz w:val="32"/>
        </w:rPr>
        <w:t>对于</w:t>
      </w:r>
      <w:r w:rsidRPr="00876A4F">
        <w:rPr>
          <w:rFonts w:ascii="Times New Roman" w:eastAsia="仿宋_GB2312" w:hAnsi="Times New Roman" w:cs="Times New Roman"/>
          <w:sz w:val="32"/>
        </w:rPr>
        <w:t>已在</w:t>
      </w:r>
      <w:r w:rsidRPr="00876A4F">
        <w:rPr>
          <w:rFonts w:ascii="Times New Roman" w:eastAsia="仿宋_GB2312" w:hAnsi="Times New Roman" w:cs="Times New Roman" w:hint="eastAsia"/>
          <w:sz w:val="32"/>
        </w:rPr>
        <w:t>《以药动学参数为终点评价指标的化学药物仿制药人体生物等效性研究技术指导原则》（</w:t>
      </w:r>
      <w:r w:rsidRPr="00876A4F">
        <w:rPr>
          <w:rFonts w:ascii="Times New Roman" w:eastAsia="仿宋_GB2312" w:hAnsi="Times New Roman" w:cs="Times New Roman" w:hint="eastAsia"/>
          <w:sz w:val="32"/>
        </w:rPr>
        <w:t>2016</w:t>
      </w:r>
      <w:r w:rsidRPr="00876A4F">
        <w:rPr>
          <w:rFonts w:ascii="Times New Roman" w:eastAsia="仿宋_GB2312" w:hAnsi="Times New Roman" w:cs="Times New Roman" w:hint="eastAsia"/>
          <w:sz w:val="32"/>
        </w:rPr>
        <w:t>年</w:t>
      </w:r>
      <w:r w:rsidRPr="00876A4F">
        <w:rPr>
          <w:rFonts w:ascii="Times New Roman" w:eastAsia="仿宋_GB2312" w:hAnsi="Times New Roman" w:cs="Times New Roman" w:hint="eastAsia"/>
          <w:sz w:val="32"/>
        </w:rPr>
        <w:t>3</w:t>
      </w:r>
      <w:r w:rsidRPr="00876A4F">
        <w:rPr>
          <w:rFonts w:ascii="Times New Roman" w:eastAsia="仿宋_GB2312" w:hAnsi="Times New Roman" w:cs="Times New Roman" w:hint="eastAsia"/>
          <w:sz w:val="32"/>
        </w:rPr>
        <w:t>月</w:t>
      </w:r>
      <w:r w:rsidRPr="00876A4F">
        <w:rPr>
          <w:rFonts w:ascii="Times New Roman" w:eastAsia="仿宋_GB2312" w:hAnsi="Times New Roman" w:cs="Times New Roman"/>
          <w:sz w:val="32"/>
        </w:rPr>
        <w:t>）</w:t>
      </w:r>
      <w:r w:rsidRPr="00876A4F">
        <w:rPr>
          <w:rFonts w:ascii="Times New Roman" w:eastAsia="仿宋_GB2312" w:hAnsi="Times New Roman" w:cs="Times New Roman" w:hint="eastAsia"/>
          <w:sz w:val="32"/>
        </w:rPr>
        <w:t>及</w:t>
      </w:r>
      <w:r w:rsidRPr="00876A4F">
        <w:rPr>
          <w:rFonts w:ascii="Times New Roman" w:eastAsia="仿宋_GB2312" w:hAnsi="Times New Roman" w:cs="Times New Roman"/>
          <w:sz w:val="32"/>
        </w:rPr>
        <w:t>《</w:t>
      </w:r>
      <w:r w:rsidRPr="00876A4F">
        <w:rPr>
          <w:rFonts w:ascii="Times New Roman" w:eastAsia="仿宋_GB2312" w:hAnsi="Times New Roman" w:cs="Times New Roman" w:hint="eastAsia"/>
          <w:sz w:val="32"/>
        </w:rPr>
        <w:t>生物等效</w:t>
      </w:r>
      <w:r w:rsidRPr="00876A4F">
        <w:rPr>
          <w:rFonts w:ascii="Times New Roman" w:eastAsia="仿宋_GB2312" w:hAnsi="Times New Roman" w:cs="Times New Roman"/>
          <w:sz w:val="32"/>
        </w:rPr>
        <w:t>性研究的统计学指导原则》</w:t>
      </w:r>
      <w:r w:rsidRPr="00876A4F">
        <w:rPr>
          <w:rFonts w:ascii="Times New Roman" w:eastAsia="仿宋_GB2312" w:hAnsi="Times New Roman" w:cs="Times New Roman" w:hint="eastAsia"/>
          <w:sz w:val="32"/>
        </w:rPr>
        <w:t>（</w:t>
      </w:r>
      <w:r w:rsidRPr="00876A4F">
        <w:rPr>
          <w:rFonts w:ascii="Times New Roman" w:eastAsia="仿宋_GB2312" w:hAnsi="Times New Roman" w:cs="Times New Roman" w:hint="eastAsia"/>
          <w:sz w:val="32"/>
        </w:rPr>
        <w:t>2018</w:t>
      </w:r>
      <w:r w:rsidRPr="00876A4F">
        <w:rPr>
          <w:rFonts w:ascii="Times New Roman" w:eastAsia="仿宋_GB2312" w:hAnsi="Times New Roman" w:cs="Times New Roman" w:hint="eastAsia"/>
          <w:sz w:val="32"/>
        </w:rPr>
        <w:t>年</w:t>
      </w:r>
      <w:r w:rsidRPr="00876A4F">
        <w:rPr>
          <w:rFonts w:ascii="Times New Roman" w:eastAsia="仿宋_GB2312" w:hAnsi="Times New Roman" w:cs="Times New Roman" w:hint="eastAsia"/>
          <w:sz w:val="32"/>
        </w:rPr>
        <w:t>10</w:t>
      </w:r>
      <w:r w:rsidRPr="00876A4F">
        <w:rPr>
          <w:rFonts w:ascii="Times New Roman" w:eastAsia="仿宋_GB2312" w:hAnsi="Times New Roman" w:cs="Times New Roman" w:hint="eastAsia"/>
          <w:sz w:val="32"/>
        </w:rPr>
        <w:t>月</w:t>
      </w:r>
      <w:r w:rsidRPr="00876A4F">
        <w:rPr>
          <w:rFonts w:ascii="Times New Roman" w:eastAsia="仿宋_GB2312" w:hAnsi="Times New Roman" w:cs="Times New Roman"/>
          <w:sz w:val="32"/>
        </w:rPr>
        <w:t>）</w:t>
      </w:r>
      <w:r w:rsidRPr="00876A4F">
        <w:rPr>
          <w:rFonts w:ascii="Times New Roman" w:eastAsia="仿宋_GB2312" w:hAnsi="Times New Roman" w:cs="Times New Roman" w:hint="eastAsia"/>
          <w:sz w:val="32"/>
        </w:rPr>
        <w:t>等中阐述</w:t>
      </w:r>
      <w:r w:rsidRPr="00876A4F">
        <w:rPr>
          <w:rFonts w:ascii="Times New Roman" w:eastAsia="仿宋_GB2312" w:hAnsi="Times New Roman" w:cs="Times New Roman"/>
          <w:sz w:val="32"/>
        </w:rPr>
        <w:t>的</w:t>
      </w:r>
      <w:r w:rsidRPr="00876A4F">
        <w:rPr>
          <w:rFonts w:ascii="Times New Roman" w:eastAsia="仿宋_GB2312" w:hAnsi="Times New Roman" w:cs="Times New Roman" w:hint="eastAsia"/>
          <w:sz w:val="32"/>
        </w:rPr>
        <w:t>生物等效性</w:t>
      </w:r>
      <w:r w:rsidRPr="00876A4F">
        <w:rPr>
          <w:rFonts w:ascii="Times New Roman" w:eastAsia="仿宋_GB2312" w:hAnsi="Times New Roman" w:cs="Times New Roman"/>
          <w:sz w:val="32"/>
        </w:rPr>
        <w:t>研究的</w:t>
      </w:r>
      <w:r w:rsidRPr="00876A4F">
        <w:rPr>
          <w:rFonts w:ascii="Times New Roman" w:eastAsia="仿宋_GB2312" w:hAnsi="Times New Roman" w:cs="Times New Roman" w:hint="eastAsia"/>
          <w:sz w:val="32"/>
        </w:rPr>
        <w:t>一般原则，本指导原则</w:t>
      </w:r>
      <w:r w:rsidRPr="00876A4F">
        <w:rPr>
          <w:rFonts w:ascii="Times New Roman" w:eastAsia="仿宋_GB2312" w:hAnsi="Times New Roman" w:cs="Times New Roman"/>
          <w:sz w:val="32"/>
        </w:rPr>
        <w:t>不再赘述。</w:t>
      </w:r>
    </w:p>
    <w:p w14:paraId="6A65730C" w14:textId="77777777" w:rsidR="00876A4F" w:rsidRPr="00876A4F" w:rsidRDefault="00876A4F" w:rsidP="00876A4F">
      <w:pPr>
        <w:spacing w:line="360" w:lineRule="auto"/>
        <w:ind w:firstLineChars="200" w:firstLine="640"/>
        <w:rPr>
          <w:rFonts w:ascii="仿宋_GB2312" w:eastAsia="仿宋_GB2312" w:hAnsi="黑体" w:cs="Times New Roman"/>
          <w:bCs/>
          <w:sz w:val="32"/>
          <w:szCs w:val="24"/>
        </w:rPr>
      </w:pPr>
      <w:r w:rsidRPr="00876A4F">
        <w:rPr>
          <w:rFonts w:ascii="仿宋_GB2312" w:eastAsia="仿宋_GB2312" w:hAnsi="黑体" w:cs="Times New Roman" w:hint="eastAsia"/>
          <w:bCs/>
          <w:sz w:val="32"/>
          <w:szCs w:val="24"/>
        </w:rPr>
        <w:t>由于窄治疗指数药物的复杂性和特殊性，目前国际上尚无统一的判定标准，美国</w:t>
      </w:r>
      <w:r w:rsidRPr="00876A4F">
        <w:rPr>
          <w:rFonts w:ascii="Times New Roman" w:eastAsia="仿宋_GB2312" w:hAnsi="Times New Roman" w:cs="Times New Roman"/>
          <w:bCs/>
          <w:sz w:val="32"/>
          <w:szCs w:val="24"/>
        </w:rPr>
        <w:t>FDA</w:t>
      </w:r>
      <w:r w:rsidRPr="00876A4F">
        <w:rPr>
          <w:rFonts w:ascii="仿宋_GB2312" w:eastAsia="仿宋_GB2312" w:hAnsi="黑体" w:cs="Times New Roman"/>
          <w:bCs/>
          <w:sz w:val="32"/>
          <w:szCs w:val="24"/>
        </w:rPr>
        <w:t>和欧盟</w:t>
      </w:r>
      <w:r w:rsidRPr="00876A4F">
        <w:rPr>
          <w:rFonts w:ascii="Times New Roman" w:eastAsia="仿宋_GB2312" w:hAnsi="Times New Roman" w:cs="Times New Roman"/>
          <w:bCs/>
          <w:sz w:val="32"/>
          <w:szCs w:val="24"/>
        </w:rPr>
        <w:t>EMA</w:t>
      </w:r>
      <w:r w:rsidRPr="00876A4F">
        <w:rPr>
          <w:rFonts w:ascii="仿宋_GB2312" w:eastAsia="仿宋_GB2312" w:hAnsi="黑体" w:cs="Times New Roman"/>
          <w:bCs/>
          <w:sz w:val="32"/>
          <w:szCs w:val="24"/>
        </w:rPr>
        <w:t>均采用</w:t>
      </w:r>
      <w:r w:rsidRPr="00876A4F">
        <w:rPr>
          <w:rFonts w:ascii="仿宋_GB2312" w:eastAsia="仿宋_GB2312" w:hAnsi="黑体" w:cs="Times New Roman" w:hint="eastAsia"/>
          <w:bCs/>
          <w:sz w:val="32"/>
          <w:szCs w:val="24"/>
        </w:rPr>
        <w:t>了具体</w:t>
      </w:r>
      <w:r w:rsidRPr="00876A4F">
        <w:rPr>
          <w:rFonts w:ascii="仿宋_GB2312" w:eastAsia="仿宋_GB2312" w:hAnsi="黑体" w:cs="Times New Roman"/>
          <w:bCs/>
          <w:sz w:val="32"/>
          <w:szCs w:val="24"/>
        </w:rPr>
        <w:t>药物具体分析</w:t>
      </w:r>
      <w:r w:rsidRPr="00876A4F">
        <w:rPr>
          <w:rFonts w:ascii="仿宋_GB2312" w:eastAsia="仿宋_GB2312" w:hAnsi="黑体" w:cs="Times New Roman" w:hint="eastAsia"/>
          <w:bCs/>
          <w:sz w:val="32"/>
          <w:szCs w:val="24"/>
        </w:rPr>
        <w:t>的</w:t>
      </w:r>
      <w:r w:rsidRPr="00876A4F">
        <w:rPr>
          <w:rFonts w:ascii="仿宋_GB2312" w:eastAsia="仿宋_GB2312" w:hAnsi="黑体" w:cs="Times New Roman"/>
          <w:bCs/>
          <w:sz w:val="32"/>
          <w:szCs w:val="24"/>
        </w:rPr>
        <w:t>方式</w:t>
      </w:r>
      <w:r w:rsidRPr="00876A4F">
        <w:rPr>
          <w:rFonts w:ascii="仿宋_GB2312" w:eastAsia="仿宋_GB2312" w:hAnsi="黑体" w:cs="Times New Roman" w:hint="eastAsia"/>
          <w:bCs/>
          <w:sz w:val="32"/>
          <w:szCs w:val="24"/>
        </w:rPr>
        <w:t>。对于窄治疗指数</w:t>
      </w:r>
      <w:r w:rsidRPr="00876A4F">
        <w:rPr>
          <w:rFonts w:ascii="仿宋_GB2312" w:eastAsia="仿宋_GB2312" w:hAnsi="黑体" w:cs="Times New Roman"/>
          <w:bCs/>
          <w:sz w:val="32"/>
          <w:szCs w:val="24"/>
        </w:rPr>
        <w:t>药物的判定，</w:t>
      </w:r>
      <w:r w:rsidRPr="00876A4F">
        <w:rPr>
          <w:rFonts w:ascii="仿宋_GB2312" w:eastAsia="仿宋_GB2312" w:hAnsi="黑体" w:cs="Times New Roman" w:hint="eastAsia"/>
          <w:bCs/>
          <w:sz w:val="32"/>
          <w:szCs w:val="24"/>
        </w:rPr>
        <w:t>可参考本</w:t>
      </w:r>
      <w:r w:rsidRPr="00876A4F">
        <w:rPr>
          <w:rFonts w:ascii="仿宋_GB2312" w:eastAsia="仿宋_GB2312" w:hAnsi="黑体" w:cs="Times New Roman" w:hint="eastAsia"/>
          <w:bCs/>
          <w:sz w:val="32"/>
          <w:szCs w:val="24"/>
        </w:rPr>
        <w:lastRenderedPageBreak/>
        <w:t>指导原则概述章节所述此类药物的一般特点，并结合国内外临床应用经验和文献资料等综合考虑。</w:t>
      </w:r>
    </w:p>
    <w:p w14:paraId="72BAF814" w14:textId="5188CE91" w:rsidR="000B68E1" w:rsidRPr="00216472" w:rsidRDefault="00876A4F" w:rsidP="00216472">
      <w:pPr>
        <w:spacing w:line="360" w:lineRule="auto"/>
        <w:ind w:firstLineChars="200" w:firstLine="640"/>
        <w:rPr>
          <w:rFonts w:ascii="黑体" w:eastAsia="黑体" w:hAnsi="黑体" w:cs="Times New Roman" w:hint="eastAsia"/>
          <w:sz w:val="32"/>
          <w:szCs w:val="32"/>
        </w:rPr>
      </w:pPr>
      <w:r w:rsidRPr="00876A4F">
        <w:rPr>
          <w:rFonts w:ascii="Times New Roman" w:eastAsia="仿宋_GB2312" w:hAnsi="Times New Roman" w:cs="Times New Roman" w:hint="eastAsia"/>
          <w:sz w:val="32"/>
          <w:szCs w:val="24"/>
        </w:rPr>
        <w:t>对于</w:t>
      </w: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药物的</w:t>
      </w:r>
      <w:r w:rsidRPr="00876A4F">
        <w:rPr>
          <w:rFonts w:ascii="Times New Roman" w:eastAsia="仿宋_GB2312" w:hAnsi="Times New Roman" w:cs="Times New Roman" w:hint="eastAsia"/>
          <w:sz w:val="32"/>
          <w:szCs w:val="24"/>
        </w:rPr>
        <w:t>判</w:t>
      </w:r>
      <w:r w:rsidRPr="00876A4F">
        <w:rPr>
          <w:rFonts w:ascii="Times New Roman" w:eastAsia="仿宋_GB2312" w:hAnsi="Times New Roman" w:cs="Times New Roman"/>
          <w:sz w:val="32"/>
          <w:szCs w:val="24"/>
        </w:rPr>
        <w:t>定</w:t>
      </w:r>
      <w:r w:rsidRPr="00876A4F">
        <w:rPr>
          <w:rFonts w:ascii="Times New Roman" w:eastAsia="仿宋_GB2312" w:hAnsi="Times New Roman" w:cs="Times New Roman" w:hint="eastAsia"/>
          <w:sz w:val="32"/>
          <w:szCs w:val="24"/>
        </w:rPr>
        <w:t>及</w:t>
      </w:r>
      <w:r w:rsidRPr="00876A4F">
        <w:rPr>
          <w:rFonts w:ascii="Times New Roman" w:eastAsia="仿宋_GB2312" w:hAnsi="Times New Roman" w:cs="Times New Roman"/>
          <w:sz w:val="32"/>
          <w:szCs w:val="24"/>
        </w:rPr>
        <w:t>其生物等效性研究</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sz w:val="32"/>
          <w:szCs w:val="24"/>
        </w:rPr>
        <w:t>研究</w:t>
      </w:r>
      <w:r w:rsidRPr="00876A4F">
        <w:rPr>
          <w:rFonts w:ascii="Times New Roman" w:eastAsia="仿宋_GB2312" w:hAnsi="Times New Roman" w:cs="Times New Roman" w:hint="eastAsia"/>
          <w:sz w:val="32"/>
          <w:szCs w:val="24"/>
        </w:rPr>
        <w:t>设计</w:t>
      </w:r>
      <w:r w:rsidRPr="00876A4F">
        <w:rPr>
          <w:rFonts w:ascii="Times New Roman" w:eastAsia="仿宋_GB2312" w:hAnsi="Times New Roman" w:cs="Times New Roman"/>
          <w:sz w:val="32"/>
          <w:szCs w:val="24"/>
        </w:rPr>
        <w:t>和统计</w:t>
      </w:r>
      <w:r w:rsidRPr="00876A4F">
        <w:rPr>
          <w:rFonts w:ascii="Times New Roman" w:eastAsia="仿宋_GB2312" w:hAnsi="Times New Roman" w:cs="Times New Roman" w:hint="eastAsia"/>
          <w:sz w:val="32"/>
          <w:szCs w:val="24"/>
        </w:rPr>
        <w:t>分析</w:t>
      </w:r>
      <w:r w:rsidRPr="00876A4F">
        <w:rPr>
          <w:rFonts w:ascii="Times New Roman" w:eastAsia="仿宋_GB2312" w:hAnsi="Times New Roman" w:cs="Times New Roman"/>
          <w:sz w:val="32"/>
          <w:szCs w:val="24"/>
        </w:rPr>
        <w:t>，特殊情况时，可事先与监管机构沟通。</w:t>
      </w:r>
      <w:bookmarkStart w:id="0" w:name="_GoBack"/>
      <w:bookmarkEnd w:id="0"/>
    </w:p>
    <w:sectPr w:rsidR="000B68E1" w:rsidRPr="00216472" w:rsidSect="00605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8532" w14:textId="77777777" w:rsidR="006A7C09" w:rsidRDefault="006A7C09" w:rsidP="00C14DC6">
      <w:r>
        <w:separator/>
      </w:r>
    </w:p>
  </w:endnote>
  <w:endnote w:type="continuationSeparator" w:id="0">
    <w:p w14:paraId="2B0E03D6" w14:textId="77777777" w:rsidR="006A7C09" w:rsidRDefault="006A7C09" w:rsidP="00C1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5E92" w14:textId="77777777" w:rsidR="006A7C09" w:rsidRDefault="006A7C09" w:rsidP="00C14DC6">
      <w:r>
        <w:separator/>
      </w:r>
    </w:p>
  </w:footnote>
  <w:footnote w:type="continuationSeparator" w:id="0">
    <w:p w14:paraId="1956D6CA" w14:textId="77777777" w:rsidR="006A7C09" w:rsidRDefault="006A7C09" w:rsidP="00C1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4B8"/>
    <w:multiLevelType w:val="multilevel"/>
    <w:tmpl w:val="65C827C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35990"/>
    <w:multiLevelType w:val="hybridMultilevel"/>
    <w:tmpl w:val="3BEA00EC"/>
    <w:lvl w:ilvl="0" w:tplc="67A23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628B2"/>
    <w:multiLevelType w:val="multilevel"/>
    <w:tmpl w:val="BC32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E31BD"/>
    <w:multiLevelType w:val="multilevel"/>
    <w:tmpl w:val="B48A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01CD6"/>
    <w:multiLevelType w:val="hybridMultilevel"/>
    <w:tmpl w:val="FC585DA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671669"/>
    <w:multiLevelType w:val="multilevel"/>
    <w:tmpl w:val="FD82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3270D"/>
    <w:multiLevelType w:val="multilevel"/>
    <w:tmpl w:val="BF2EC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E360F"/>
    <w:multiLevelType w:val="multilevel"/>
    <w:tmpl w:val="5B1CB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92940"/>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CD29F2"/>
    <w:multiLevelType w:val="multilevel"/>
    <w:tmpl w:val="B5DAD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A1804"/>
    <w:multiLevelType w:val="hybridMultilevel"/>
    <w:tmpl w:val="136673BA"/>
    <w:lvl w:ilvl="0" w:tplc="DE946BE0">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1" w15:restartNumberingAfterBreak="0">
    <w:nsid w:val="4CEE11B6"/>
    <w:multiLevelType w:val="hybridMultilevel"/>
    <w:tmpl w:val="9E408330"/>
    <w:lvl w:ilvl="0" w:tplc="2CB8F8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1F735C6"/>
    <w:multiLevelType w:val="multilevel"/>
    <w:tmpl w:val="3644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FA5F86"/>
    <w:multiLevelType w:val="hybridMultilevel"/>
    <w:tmpl w:val="68FCE44C"/>
    <w:lvl w:ilvl="0" w:tplc="AAF2969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8"/>
  </w:num>
  <w:num w:numId="2">
    <w:abstractNumId w:val="0"/>
  </w:num>
  <w:num w:numId="3">
    <w:abstractNumId w:val="13"/>
  </w:num>
  <w:num w:numId="4">
    <w:abstractNumId w:val="10"/>
  </w:num>
  <w:num w:numId="5">
    <w:abstractNumId w:val="11"/>
  </w:num>
  <w:num w:numId="6">
    <w:abstractNumId w:val="12"/>
  </w:num>
  <w:num w:numId="7">
    <w:abstractNumId w:val="1"/>
  </w:num>
  <w:num w:numId="8">
    <w:abstractNumId w:val="3"/>
  </w:num>
  <w:num w:numId="9">
    <w:abstractNumId w:val="7"/>
  </w:num>
  <w:num w:numId="10">
    <w:abstractNumId w:val="2"/>
  </w:num>
  <w:num w:numId="11">
    <w:abstractNumId w:val="6"/>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9F"/>
    <w:rsid w:val="00003F04"/>
    <w:rsid w:val="00006EC3"/>
    <w:rsid w:val="000150A4"/>
    <w:rsid w:val="00025A68"/>
    <w:rsid w:val="00031F61"/>
    <w:rsid w:val="0003683C"/>
    <w:rsid w:val="00041E27"/>
    <w:rsid w:val="00054132"/>
    <w:rsid w:val="0005464E"/>
    <w:rsid w:val="00054BAD"/>
    <w:rsid w:val="000624A2"/>
    <w:rsid w:val="000736AC"/>
    <w:rsid w:val="000819FF"/>
    <w:rsid w:val="000870C7"/>
    <w:rsid w:val="00087371"/>
    <w:rsid w:val="00097BB0"/>
    <w:rsid w:val="000A0DDD"/>
    <w:rsid w:val="000A140C"/>
    <w:rsid w:val="000B4FA0"/>
    <w:rsid w:val="000B68E1"/>
    <w:rsid w:val="000C7176"/>
    <w:rsid w:val="000D1B7E"/>
    <w:rsid w:val="000D4127"/>
    <w:rsid w:val="000F15F1"/>
    <w:rsid w:val="000F19FE"/>
    <w:rsid w:val="000F1D11"/>
    <w:rsid w:val="000F24D5"/>
    <w:rsid w:val="000F6C23"/>
    <w:rsid w:val="001079FA"/>
    <w:rsid w:val="0011595A"/>
    <w:rsid w:val="00115BDE"/>
    <w:rsid w:val="00115FB7"/>
    <w:rsid w:val="00116B27"/>
    <w:rsid w:val="00117DFB"/>
    <w:rsid w:val="00125E92"/>
    <w:rsid w:val="00134C7D"/>
    <w:rsid w:val="0013588A"/>
    <w:rsid w:val="00140748"/>
    <w:rsid w:val="00141F80"/>
    <w:rsid w:val="00151243"/>
    <w:rsid w:val="00152E55"/>
    <w:rsid w:val="0015722A"/>
    <w:rsid w:val="00157644"/>
    <w:rsid w:val="00162CB0"/>
    <w:rsid w:val="001640DF"/>
    <w:rsid w:val="00166806"/>
    <w:rsid w:val="00167BBC"/>
    <w:rsid w:val="00172D6F"/>
    <w:rsid w:val="00177A55"/>
    <w:rsid w:val="00177C3B"/>
    <w:rsid w:val="00177CBB"/>
    <w:rsid w:val="00187520"/>
    <w:rsid w:val="001B3759"/>
    <w:rsid w:val="001C03C5"/>
    <w:rsid w:val="001C4B48"/>
    <w:rsid w:val="001C69C7"/>
    <w:rsid w:val="001E2FA4"/>
    <w:rsid w:val="001E3FC5"/>
    <w:rsid w:val="001E4BF4"/>
    <w:rsid w:val="001F0157"/>
    <w:rsid w:val="001F1016"/>
    <w:rsid w:val="001F1991"/>
    <w:rsid w:val="00201503"/>
    <w:rsid w:val="00202D35"/>
    <w:rsid w:val="002112B6"/>
    <w:rsid w:val="0021211B"/>
    <w:rsid w:val="00214DB6"/>
    <w:rsid w:val="002159B6"/>
    <w:rsid w:val="00216472"/>
    <w:rsid w:val="00216E50"/>
    <w:rsid w:val="00224829"/>
    <w:rsid w:val="00224959"/>
    <w:rsid w:val="00230B4B"/>
    <w:rsid w:val="00231ABA"/>
    <w:rsid w:val="00234AAB"/>
    <w:rsid w:val="00236F8C"/>
    <w:rsid w:val="00241A5A"/>
    <w:rsid w:val="00241B6B"/>
    <w:rsid w:val="002440D4"/>
    <w:rsid w:val="0024580C"/>
    <w:rsid w:val="00247CBA"/>
    <w:rsid w:val="00255EC7"/>
    <w:rsid w:val="0026265A"/>
    <w:rsid w:val="00273967"/>
    <w:rsid w:val="0027444B"/>
    <w:rsid w:val="0027458E"/>
    <w:rsid w:val="00276E7C"/>
    <w:rsid w:val="0028117F"/>
    <w:rsid w:val="0028209B"/>
    <w:rsid w:val="00286FB4"/>
    <w:rsid w:val="002872F4"/>
    <w:rsid w:val="00287BED"/>
    <w:rsid w:val="00297AA6"/>
    <w:rsid w:val="002A1384"/>
    <w:rsid w:val="002A40F5"/>
    <w:rsid w:val="002A59AF"/>
    <w:rsid w:val="002A7EB5"/>
    <w:rsid w:val="002B3FE3"/>
    <w:rsid w:val="002B5642"/>
    <w:rsid w:val="002C0F6E"/>
    <w:rsid w:val="002D0131"/>
    <w:rsid w:val="002E1A29"/>
    <w:rsid w:val="002E31F2"/>
    <w:rsid w:val="002E4CCF"/>
    <w:rsid w:val="002E5B9D"/>
    <w:rsid w:val="002E7A8A"/>
    <w:rsid w:val="00304276"/>
    <w:rsid w:val="003072D9"/>
    <w:rsid w:val="003137F1"/>
    <w:rsid w:val="00314F43"/>
    <w:rsid w:val="00326F10"/>
    <w:rsid w:val="0034764A"/>
    <w:rsid w:val="00360CC2"/>
    <w:rsid w:val="003636A6"/>
    <w:rsid w:val="00365665"/>
    <w:rsid w:val="00365B52"/>
    <w:rsid w:val="00365C2A"/>
    <w:rsid w:val="00366782"/>
    <w:rsid w:val="00374DA1"/>
    <w:rsid w:val="003768F8"/>
    <w:rsid w:val="003773F6"/>
    <w:rsid w:val="00380574"/>
    <w:rsid w:val="00390F9E"/>
    <w:rsid w:val="003951F3"/>
    <w:rsid w:val="003956AD"/>
    <w:rsid w:val="003965A1"/>
    <w:rsid w:val="003A21FD"/>
    <w:rsid w:val="003A28E5"/>
    <w:rsid w:val="003A2D8F"/>
    <w:rsid w:val="003A661A"/>
    <w:rsid w:val="003B07E5"/>
    <w:rsid w:val="003B6098"/>
    <w:rsid w:val="003C167C"/>
    <w:rsid w:val="003C3600"/>
    <w:rsid w:val="003C442E"/>
    <w:rsid w:val="003C5880"/>
    <w:rsid w:val="003D0A72"/>
    <w:rsid w:val="003D345B"/>
    <w:rsid w:val="003D459A"/>
    <w:rsid w:val="003D4B49"/>
    <w:rsid w:val="003D73F9"/>
    <w:rsid w:val="003E4BCD"/>
    <w:rsid w:val="003E738E"/>
    <w:rsid w:val="00403E96"/>
    <w:rsid w:val="0040577B"/>
    <w:rsid w:val="004068AB"/>
    <w:rsid w:val="004156C7"/>
    <w:rsid w:val="00424924"/>
    <w:rsid w:val="00433E62"/>
    <w:rsid w:val="004351B3"/>
    <w:rsid w:val="00436CE5"/>
    <w:rsid w:val="004421F3"/>
    <w:rsid w:val="0044261D"/>
    <w:rsid w:val="004438C0"/>
    <w:rsid w:val="0044777A"/>
    <w:rsid w:val="004537A4"/>
    <w:rsid w:val="004568B5"/>
    <w:rsid w:val="0045769C"/>
    <w:rsid w:val="00457C4C"/>
    <w:rsid w:val="00462740"/>
    <w:rsid w:val="004663FD"/>
    <w:rsid w:val="00466821"/>
    <w:rsid w:val="00467633"/>
    <w:rsid w:val="0047217C"/>
    <w:rsid w:val="00474D14"/>
    <w:rsid w:val="004757AF"/>
    <w:rsid w:val="00476CEC"/>
    <w:rsid w:val="00480D95"/>
    <w:rsid w:val="004824BB"/>
    <w:rsid w:val="00496D2F"/>
    <w:rsid w:val="004A1EA4"/>
    <w:rsid w:val="004A6292"/>
    <w:rsid w:val="004B75DC"/>
    <w:rsid w:val="004C0767"/>
    <w:rsid w:val="004C0E57"/>
    <w:rsid w:val="004C4D53"/>
    <w:rsid w:val="004C5F09"/>
    <w:rsid w:val="004D20CA"/>
    <w:rsid w:val="004D22DC"/>
    <w:rsid w:val="004D4021"/>
    <w:rsid w:val="004E79BD"/>
    <w:rsid w:val="004F2E36"/>
    <w:rsid w:val="004F470F"/>
    <w:rsid w:val="004F7AD4"/>
    <w:rsid w:val="00500698"/>
    <w:rsid w:val="00514726"/>
    <w:rsid w:val="005157BD"/>
    <w:rsid w:val="005171A4"/>
    <w:rsid w:val="00524D03"/>
    <w:rsid w:val="00525D54"/>
    <w:rsid w:val="0052674A"/>
    <w:rsid w:val="0053225D"/>
    <w:rsid w:val="00543988"/>
    <w:rsid w:val="00551CD4"/>
    <w:rsid w:val="00552447"/>
    <w:rsid w:val="00564DB0"/>
    <w:rsid w:val="0056565C"/>
    <w:rsid w:val="00575B6E"/>
    <w:rsid w:val="005815E5"/>
    <w:rsid w:val="005830E4"/>
    <w:rsid w:val="00584ADB"/>
    <w:rsid w:val="00587FB0"/>
    <w:rsid w:val="00590854"/>
    <w:rsid w:val="0059089C"/>
    <w:rsid w:val="0059621D"/>
    <w:rsid w:val="005A4D0C"/>
    <w:rsid w:val="005B0881"/>
    <w:rsid w:val="005B2A33"/>
    <w:rsid w:val="005B2CF3"/>
    <w:rsid w:val="005B3A67"/>
    <w:rsid w:val="005B3EF7"/>
    <w:rsid w:val="005B5C8A"/>
    <w:rsid w:val="005C579B"/>
    <w:rsid w:val="005D20B6"/>
    <w:rsid w:val="005E1578"/>
    <w:rsid w:val="005E7761"/>
    <w:rsid w:val="005E7DE1"/>
    <w:rsid w:val="005E7E10"/>
    <w:rsid w:val="005F2F61"/>
    <w:rsid w:val="005F4482"/>
    <w:rsid w:val="005F44E6"/>
    <w:rsid w:val="005F734D"/>
    <w:rsid w:val="0060066E"/>
    <w:rsid w:val="00603B85"/>
    <w:rsid w:val="00605B0D"/>
    <w:rsid w:val="006150B1"/>
    <w:rsid w:val="006153B8"/>
    <w:rsid w:val="006155A2"/>
    <w:rsid w:val="0061746D"/>
    <w:rsid w:val="00623465"/>
    <w:rsid w:val="00625D8C"/>
    <w:rsid w:val="00626FB7"/>
    <w:rsid w:val="00627604"/>
    <w:rsid w:val="0063119C"/>
    <w:rsid w:val="00633DA9"/>
    <w:rsid w:val="00645D5A"/>
    <w:rsid w:val="006469B8"/>
    <w:rsid w:val="00655775"/>
    <w:rsid w:val="006613D3"/>
    <w:rsid w:val="00672C16"/>
    <w:rsid w:val="006829FD"/>
    <w:rsid w:val="00685BCF"/>
    <w:rsid w:val="0069411E"/>
    <w:rsid w:val="006951E7"/>
    <w:rsid w:val="00695540"/>
    <w:rsid w:val="00696EBD"/>
    <w:rsid w:val="006A20A6"/>
    <w:rsid w:val="006A782C"/>
    <w:rsid w:val="006A7C09"/>
    <w:rsid w:val="006B48ED"/>
    <w:rsid w:val="006B7247"/>
    <w:rsid w:val="006B7B67"/>
    <w:rsid w:val="006C1BB9"/>
    <w:rsid w:val="006C40C9"/>
    <w:rsid w:val="006C450D"/>
    <w:rsid w:val="006D03E2"/>
    <w:rsid w:val="006D0988"/>
    <w:rsid w:val="006D234B"/>
    <w:rsid w:val="006E3B2E"/>
    <w:rsid w:val="006E3D57"/>
    <w:rsid w:val="006E3E15"/>
    <w:rsid w:val="006E50C8"/>
    <w:rsid w:val="006E7E06"/>
    <w:rsid w:val="006F2ECA"/>
    <w:rsid w:val="006F4605"/>
    <w:rsid w:val="00712537"/>
    <w:rsid w:val="00714D14"/>
    <w:rsid w:val="00716012"/>
    <w:rsid w:val="0071757F"/>
    <w:rsid w:val="007244F4"/>
    <w:rsid w:val="00725379"/>
    <w:rsid w:val="0074070E"/>
    <w:rsid w:val="00746DC3"/>
    <w:rsid w:val="00751E44"/>
    <w:rsid w:val="0075291B"/>
    <w:rsid w:val="00755911"/>
    <w:rsid w:val="0076226D"/>
    <w:rsid w:val="007627B3"/>
    <w:rsid w:val="00764058"/>
    <w:rsid w:val="00771D67"/>
    <w:rsid w:val="00772541"/>
    <w:rsid w:val="00774A8E"/>
    <w:rsid w:val="0077507F"/>
    <w:rsid w:val="00780ADC"/>
    <w:rsid w:val="00792FDD"/>
    <w:rsid w:val="00793968"/>
    <w:rsid w:val="00797AD4"/>
    <w:rsid w:val="007A724C"/>
    <w:rsid w:val="007B00D3"/>
    <w:rsid w:val="007B79C6"/>
    <w:rsid w:val="007C3949"/>
    <w:rsid w:val="007D3526"/>
    <w:rsid w:val="007D486F"/>
    <w:rsid w:val="007D5103"/>
    <w:rsid w:val="007D6E03"/>
    <w:rsid w:val="007E2199"/>
    <w:rsid w:val="007E752D"/>
    <w:rsid w:val="007F3142"/>
    <w:rsid w:val="007F5525"/>
    <w:rsid w:val="007F5C38"/>
    <w:rsid w:val="007F7866"/>
    <w:rsid w:val="008128D6"/>
    <w:rsid w:val="00814F3D"/>
    <w:rsid w:val="00827C31"/>
    <w:rsid w:val="00835D5A"/>
    <w:rsid w:val="00836627"/>
    <w:rsid w:val="00841D03"/>
    <w:rsid w:val="008567FB"/>
    <w:rsid w:val="008613E6"/>
    <w:rsid w:val="00863206"/>
    <w:rsid w:val="008672FE"/>
    <w:rsid w:val="00871514"/>
    <w:rsid w:val="00876A4F"/>
    <w:rsid w:val="00887DCE"/>
    <w:rsid w:val="00895FD5"/>
    <w:rsid w:val="00897079"/>
    <w:rsid w:val="008A4886"/>
    <w:rsid w:val="008A52D0"/>
    <w:rsid w:val="008A62FE"/>
    <w:rsid w:val="008B1B67"/>
    <w:rsid w:val="008B6ACE"/>
    <w:rsid w:val="008C07C8"/>
    <w:rsid w:val="008C45CC"/>
    <w:rsid w:val="008C7BE0"/>
    <w:rsid w:val="008D22F6"/>
    <w:rsid w:val="008E307E"/>
    <w:rsid w:val="008E6A9D"/>
    <w:rsid w:val="008F24E8"/>
    <w:rsid w:val="008F6EA1"/>
    <w:rsid w:val="008F7356"/>
    <w:rsid w:val="00902461"/>
    <w:rsid w:val="00902729"/>
    <w:rsid w:val="0091199C"/>
    <w:rsid w:val="0091278C"/>
    <w:rsid w:val="00913B39"/>
    <w:rsid w:val="00913CCB"/>
    <w:rsid w:val="00915928"/>
    <w:rsid w:val="00915D18"/>
    <w:rsid w:val="009408C6"/>
    <w:rsid w:val="0094657C"/>
    <w:rsid w:val="00957B01"/>
    <w:rsid w:val="009663B6"/>
    <w:rsid w:val="00966C8F"/>
    <w:rsid w:val="0096769B"/>
    <w:rsid w:val="00972C2D"/>
    <w:rsid w:val="00974D05"/>
    <w:rsid w:val="00975002"/>
    <w:rsid w:val="00975150"/>
    <w:rsid w:val="00975824"/>
    <w:rsid w:val="00976598"/>
    <w:rsid w:val="009769F6"/>
    <w:rsid w:val="00977A76"/>
    <w:rsid w:val="0098401F"/>
    <w:rsid w:val="00984BFC"/>
    <w:rsid w:val="00986741"/>
    <w:rsid w:val="009879FC"/>
    <w:rsid w:val="009923EE"/>
    <w:rsid w:val="009A10D1"/>
    <w:rsid w:val="009A3CCD"/>
    <w:rsid w:val="009A3D6F"/>
    <w:rsid w:val="009B646C"/>
    <w:rsid w:val="009C08B6"/>
    <w:rsid w:val="009C15E6"/>
    <w:rsid w:val="009C16C8"/>
    <w:rsid w:val="009C3E6A"/>
    <w:rsid w:val="009C59F9"/>
    <w:rsid w:val="009C62E7"/>
    <w:rsid w:val="009D761F"/>
    <w:rsid w:val="009E054B"/>
    <w:rsid w:val="009E0616"/>
    <w:rsid w:val="009E7498"/>
    <w:rsid w:val="009F107F"/>
    <w:rsid w:val="009F750D"/>
    <w:rsid w:val="00A00B02"/>
    <w:rsid w:val="00A01E36"/>
    <w:rsid w:val="00A13936"/>
    <w:rsid w:val="00A14AB5"/>
    <w:rsid w:val="00A15F0D"/>
    <w:rsid w:val="00A23125"/>
    <w:rsid w:val="00A23326"/>
    <w:rsid w:val="00A23D24"/>
    <w:rsid w:val="00A27E81"/>
    <w:rsid w:val="00A3023D"/>
    <w:rsid w:val="00A359BD"/>
    <w:rsid w:val="00A3763C"/>
    <w:rsid w:val="00A413EE"/>
    <w:rsid w:val="00A4469F"/>
    <w:rsid w:val="00A4669F"/>
    <w:rsid w:val="00A51EC2"/>
    <w:rsid w:val="00A61A1C"/>
    <w:rsid w:val="00A640AE"/>
    <w:rsid w:val="00A70595"/>
    <w:rsid w:val="00A712D8"/>
    <w:rsid w:val="00A729AA"/>
    <w:rsid w:val="00A80864"/>
    <w:rsid w:val="00A81DF9"/>
    <w:rsid w:val="00A8241D"/>
    <w:rsid w:val="00A84791"/>
    <w:rsid w:val="00A87260"/>
    <w:rsid w:val="00A90EC0"/>
    <w:rsid w:val="00A9397E"/>
    <w:rsid w:val="00A97242"/>
    <w:rsid w:val="00AA0A68"/>
    <w:rsid w:val="00AB3CDC"/>
    <w:rsid w:val="00AB4D7E"/>
    <w:rsid w:val="00AB638B"/>
    <w:rsid w:val="00AC1153"/>
    <w:rsid w:val="00AC2056"/>
    <w:rsid w:val="00AC3084"/>
    <w:rsid w:val="00AD2303"/>
    <w:rsid w:val="00AE0063"/>
    <w:rsid w:val="00AE2BD8"/>
    <w:rsid w:val="00AE3733"/>
    <w:rsid w:val="00AE6B0F"/>
    <w:rsid w:val="00AF7C06"/>
    <w:rsid w:val="00B022F5"/>
    <w:rsid w:val="00B037CA"/>
    <w:rsid w:val="00B03D29"/>
    <w:rsid w:val="00B064C9"/>
    <w:rsid w:val="00B1185D"/>
    <w:rsid w:val="00B12D81"/>
    <w:rsid w:val="00B16F92"/>
    <w:rsid w:val="00B17B50"/>
    <w:rsid w:val="00B20CF9"/>
    <w:rsid w:val="00B20F84"/>
    <w:rsid w:val="00B23454"/>
    <w:rsid w:val="00B24957"/>
    <w:rsid w:val="00B250CF"/>
    <w:rsid w:val="00B26C67"/>
    <w:rsid w:val="00B30E00"/>
    <w:rsid w:val="00B31073"/>
    <w:rsid w:val="00B407CA"/>
    <w:rsid w:val="00B430B7"/>
    <w:rsid w:val="00B44E65"/>
    <w:rsid w:val="00B46D01"/>
    <w:rsid w:val="00B471FB"/>
    <w:rsid w:val="00B64684"/>
    <w:rsid w:val="00B661BD"/>
    <w:rsid w:val="00B71BBB"/>
    <w:rsid w:val="00B73669"/>
    <w:rsid w:val="00B75DF1"/>
    <w:rsid w:val="00B85950"/>
    <w:rsid w:val="00BA0881"/>
    <w:rsid w:val="00BA2484"/>
    <w:rsid w:val="00BA3DEF"/>
    <w:rsid w:val="00BB6C73"/>
    <w:rsid w:val="00BC3727"/>
    <w:rsid w:val="00BE308C"/>
    <w:rsid w:val="00BE4A8B"/>
    <w:rsid w:val="00BF0B24"/>
    <w:rsid w:val="00C033D3"/>
    <w:rsid w:val="00C034F0"/>
    <w:rsid w:val="00C04732"/>
    <w:rsid w:val="00C05656"/>
    <w:rsid w:val="00C12EEB"/>
    <w:rsid w:val="00C12F16"/>
    <w:rsid w:val="00C14DC6"/>
    <w:rsid w:val="00C15341"/>
    <w:rsid w:val="00C15CB7"/>
    <w:rsid w:val="00C22386"/>
    <w:rsid w:val="00C32186"/>
    <w:rsid w:val="00C322B6"/>
    <w:rsid w:val="00C40F72"/>
    <w:rsid w:val="00C44056"/>
    <w:rsid w:val="00C54F66"/>
    <w:rsid w:val="00C626AD"/>
    <w:rsid w:val="00C71CFA"/>
    <w:rsid w:val="00C74122"/>
    <w:rsid w:val="00C8113B"/>
    <w:rsid w:val="00C83264"/>
    <w:rsid w:val="00C83B6B"/>
    <w:rsid w:val="00C86DE8"/>
    <w:rsid w:val="00C870DD"/>
    <w:rsid w:val="00C87EF8"/>
    <w:rsid w:val="00C91472"/>
    <w:rsid w:val="00C92BD9"/>
    <w:rsid w:val="00C95EFB"/>
    <w:rsid w:val="00C97464"/>
    <w:rsid w:val="00CA3AE3"/>
    <w:rsid w:val="00CB5417"/>
    <w:rsid w:val="00CB79AD"/>
    <w:rsid w:val="00CB7A13"/>
    <w:rsid w:val="00CC08A4"/>
    <w:rsid w:val="00CC0E3A"/>
    <w:rsid w:val="00CC3432"/>
    <w:rsid w:val="00CC3FEA"/>
    <w:rsid w:val="00CC6C55"/>
    <w:rsid w:val="00CD30EE"/>
    <w:rsid w:val="00CE4CC7"/>
    <w:rsid w:val="00CF43FD"/>
    <w:rsid w:val="00D04728"/>
    <w:rsid w:val="00D04DD5"/>
    <w:rsid w:val="00D10599"/>
    <w:rsid w:val="00D17F80"/>
    <w:rsid w:val="00D20A6A"/>
    <w:rsid w:val="00D313D2"/>
    <w:rsid w:val="00D455B6"/>
    <w:rsid w:val="00D459CA"/>
    <w:rsid w:val="00D52409"/>
    <w:rsid w:val="00D53C19"/>
    <w:rsid w:val="00D53DD1"/>
    <w:rsid w:val="00D5660A"/>
    <w:rsid w:val="00D60E7C"/>
    <w:rsid w:val="00D6593C"/>
    <w:rsid w:val="00D70359"/>
    <w:rsid w:val="00D71C63"/>
    <w:rsid w:val="00D81EEF"/>
    <w:rsid w:val="00D83D3E"/>
    <w:rsid w:val="00D8494C"/>
    <w:rsid w:val="00D92D3A"/>
    <w:rsid w:val="00D9684E"/>
    <w:rsid w:val="00DA0C0C"/>
    <w:rsid w:val="00DA532B"/>
    <w:rsid w:val="00DB0643"/>
    <w:rsid w:val="00DB131F"/>
    <w:rsid w:val="00DB1C16"/>
    <w:rsid w:val="00DC41AF"/>
    <w:rsid w:val="00DC678E"/>
    <w:rsid w:val="00DD0938"/>
    <w:rsid w:val="00DE2484"/>
    <w:rsid w:val="00DE3271"/>
    <w:rsid w:val="00DE5EEE"/>
    <w:rsid w:val="00DF4D3C"/>
    <w:rsid w:val="00DF57C1"/>
    <w:rsid w:val="00DF6F47"/>
    <w:rsid w:val="00DF7110"/>
    <w:rsid w:val="00E0230A"/>
    <w:rsid w:val="00E05797"/>
    <w:rsid w:val="00E066C6"/>
    <w:rsid w:val="00E17CDA"/>
    <w:rsid w:val="00E20352"/>
    <w:rsid w:val="00E20679"/>
    <w:rsid w:val="00E23BE1"/>
    <w:rsid w:val="00E24573"/>
    <w:rsid w:val="00E31F43"/>
    <w:rsid w:val="00E33005"/>
    <w:rsid w:val="00E34F54"/>
    <w:rsid w:val="00E362E5"/>
    <w:rsid w:val="00E4107A"/>
    <w:rsid w:val="00E4237C"/>
    <w:rsid w:val="00E424B3"/>
    <w:rsid w:val="00E436FC"/>
    <w:rsid w:val="00E45116"/>
    <w:rsid w:val="00E46713"/>
    <w:rsid w:val="00E501B1"/>
    <w:rsid w:val="00E5074F"/>
    <w:rsid w:val="00E53830"/>
    <w:rsid w:val="00E55F66"/>
    <w:rsid w:val="00E61C95"/>
    <w:rsid w:val="00E64B43"/>
    <w:rsid w:val="00E65556"/>
    <w:rsid w:val="00E668F3"/>
    <w:rsid w:val="00E72EE1"/>
    <w:rsid w:val="00E74B07"/>
    <w:rsid w:val="00E815FC"/>
    <w:rsid w:val="00E8546A"/>
    <w:rsid w:val="00E85CC9"/>
    <w:rsid w:val="00E86060"/>
    <w:rsid w:val="00E86A92"/>
    <w:rsid w:val="00E91318"/>
    <w:rsid w:val="00E91C9F"/>
    <w:rsid w:val="00E91CB4"/>
    <w:rsid w:val="00E9488C"/>
    <w:rsid w:val="00EA0D6C"/>
    <w:rsid w:val="00EA47BF"/>
    <w:rsid w:val="00EA72CB"/>
    <w:rsid w:val="00EA7639"/>
    <w:rsid w:val="00EB2401"/>
    <w:rsid w:val="00EB58E3"/>
    <w:rsid w:val="00EC03DB"/>
    <w:rsid w:val="00EC73EE"/>
    <w:rsid w:val="00ED2BB7"/>
    <w:rsid w:val="00ED325B"/>
    <w:rsid w:val="00ED33A7"/>
    <w:rsid w:val="00ED56CA"/>
    <w:rsid w:val="00EE0168"/>
    <w:rsid w:val="00EE34D3"/>
    <w:rsid w:val="00EE4DAE"/>
    <w:rsid w:val="00EE67E2"/>
    <w:rsid w:val="00EF4764"/>
    <w:rsid w:val="00F01749"/>
    <w:rsid w:val="00F02CAD"/>
    <w:rsid w:val="00F05AF3"/>
    <w:rsid w:val="00F076D2"/>
    <w:rsid w:val="00F13B34"/>
    <w:rsid w:val="00F152D2"/>
    <w:rsid w:val="00F15AA2"/>
    <w:rsid w:val="00F21C0C"/>
    <w:rsid w:val="00F221E0"/>
    <w:rsid w:val="00F30AFE"/>
    <w:rsid w:val="00F44C4E"/>
    <w:rsid w:val="00F51755"/>
    <w:rsid w:val="00F53881"/>
    <w:rsid w:val="00F574D5"/>
    <w:rsid w:val="00F67D1A"/>
    <w:rsid w:val="00F7020A"/>
    <w:rsid w:val="00F726C2"/>
    <w:rsid w:val="00F81505"/>
    <w:rsid w:val="00F818AC"/>
    <w:rsid w:val="00F9135C"/>
    <w:rsid w:val="00F94BA3"/>
    <w:rsid w:val="00F94F17"/>
    <w:rsid w:val="00F94F54"/>
    <w:rsid w:val="00F96D16"/>
    <w:rsid w:val="00FB4A5B"/>
    <w:rsid w:val="00FC4054"/>
    <w:rsid w:val="00FC49C3"/>
    <w:rsid w:val="00FC68E6"/>
    <w:rsid w:val="00FD2045"/>
    <w:rsid w:val="00FE1856"/>
    <w:rsid w:val="00FF470D"/>
    <w:rsid w:val="00FF4A39"/>
    <w:rsid w:val="00FF4E06"/>
    <w:rsid w:val="00F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D21"/>
  <w15:docId w15:val="{4E1A3348-1117-45E0-9A0C-ED2185B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9F"/>
    <w:pPr>
      <w:widowControl w:val="0"/>
      <w:jc w:val="both"/>
    </w:pPr>
  </w:style>
  <w:style w:type="paragraph" w:styleId="1">
    <w:name w:val="heading 1"/>
    <w:basedOn w:val="a"/>
    <w:next w:val="a"/>
    <w:link w:val="10"/>
    <w:uiPriority w:val="9"/>
    <w:qFormat/>
    <w:rsid w:val="001E2FA4"/>
    <w:pPr>
      <w:keepNext/>
      <w:keepLines/>
      <w:spacing w:line="360" w:lineRule="auto"/>
      <w:outlineLvl w:val="0"/>
    </w:pPr>
    <w:rPr>
      <w:rFonts w:eastAsia="黑体"/>
      <w:b/>
      <w:bCs/>
      <w:kern w:val="44"/>
      <w:sz w:val="28"/>
      <w:szCs w:val="44"/>
    </w:rPr>
  </w:style>
  <w:style w:type="paragraph" w:styleId="2">
    <w:name w:val="heading 2"/>
    <w:basedOn w:val="a"/>
    <w:next w:val="a"/>
    <w:link w:val="20"/>
    <w:uiPriority w:val="9"/>
    <w:unhideWhenUsed/>
    <w:qFormat/>
    <w:rsid w:val="001E2FA4"/>
    <w:pPr>
      <w:keepNext/>
      <w:keepLines/>
      <w:spacing w:line="360" w:lineRule="auto"/>
      <w:ind w:firstLineChars="200" w:firstLine="200"/>
      <w:outlineLvl w:val="1"/>
    </w:pPr>
    <w:rPr>
      <w:rFonts w:asciiTheme="majorHAnsi" w:eastAsia="Times New Roman" w:hAnsiTheme="majorHAnsi" w:cstheme="majorBidi"/>
      <w:b/>
      <w:bCs/>
      <w:sz w:val="28"/>
      <w:szCs w:val="32"/>
    </w:rPr>
  </w:style>
  <w:style w:type="paragraph" w:styleId="3">
    <w:name w:val="heading 3"/>
    <w:basedOn w:val="a"/>
    <w:next w:val="a"/>
    <w:link w:val="30"/>
    <w:uiPriority w:val="9"/>
    <w:unhideWhenUsed/>
    <w:qFormat/>
    <w:rsid w:val="00605B0D"/>
    <w:pPr>
      <w:keepNext/>
      <w:keepLines/>
      <w:spacing w:line="360" w:lineRule="auto"/>
      <w:outlineLvl w:val="2"/>
    </w:pPr>
    <w:rPr>
      <w:rFonts w:eastAsia="SimSun-Ext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4DC6"/>
    <w:rPr>
      <w:sz w:val="18"/>
      <w:szCs w:val="18"/>
    </w:rPr>
  </w:style>
  <w:style w:type="paragraph" w:styleId="a5">
    <w:name w:val="footer"/>
    <w:basedOn w:val="a"/>
    <w:link w:val="a6"/>
    <w:uiPriority w:val="99"/>
    <w:unhideWhenUsed/>
    <w:rsid w:val="00C14DC6"/>
    <w:pPr>
      <w:tabs>
        <w:tab w:val="center" w:pos="4153"/>
        <w:tab w:val="right" w:pos="8306"/>
      </w:tabs>
      <w:snapToGrid w:val="0"/>
      <w:jc w:val="left"/>
    </w:pPr>
    <w:rPr>
      <w:sz w:val="18"/>
      <w:szCs w:val="18"/>
    </w:rPr>
  </w:style>
  <w:style w:type="character" w:customStyle="1" w:styleId="a6">
    <w:name w:val="页脚 字符"/>
    <w:basedOn w:val="a0"/>
    <w:link w:val="a5"/>
    <w:uiPriority w:val="99"/>
    <w:rsid w:val="00C14DC6"/>
    <w:rPr>
      <w:sz w:val="18"/>
      <w:szCs w:val="18"/>
    </w:rPr>
  </w:style>
  <w:style w:type="paragraph" w:styleId="a7">
    <w:name w:val="Date"/>
    <w:basedOn w:val="a"/>
    <w:next w:val="a"/>
    <w:link w:val="a8"/>
    <w:uiPriority w:val="99"/>
    <w:semiHidden/>
    <w:unhideWhenUsed/>
    <w:rsid w:val="00C14DC6"/>
    <w:pPr>
      <w:ind w:leftChars="2500" w:left="100"/>
    </w:pPr>
  </w:style>
  <w:style w:type="character" w:customStyle="1" w:styleId="a8">
    <w:name w:val="日期 字符"/>
    <w:basedOn w:val="a0"/>
    <w:link w:val="a7"/>
    <w:uiPriority w:val="99"/>
    <w:semiHidden/>
    <w:rsid w:val="00C14DC6"/>
  </w:style>
  <w:style w:type="paragraph" w:styleId="a9">
    <w:name w:val="List Paragraph"/>
    <w:basedOn w:val="a"/>
    <w:uiPriority w:val="34"/>
    <w:qFormat/>
    <w:rsid w:val="00115BDE"/>
    <w:pPr>
      <w:ind w:firstLineChars="200" w:firstLine="420"/>
    </w:pPr>
  </w:style>
  <w:style w:type="paragraph" w:styleId="aa">
    <w:name w:val="Normal (Web)"/>
    <w:basedOn w:val="a"/>
    <w:uiPriority w:val="99"/>
    <w:unhideWhenUsed/>
    <w:rsid w:val="00115BDE"/>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F0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F4A39"/>
    <w:rPr>
      <w:sz w:val="18"/>
      <w:szCs w:val="18"/>
    </w:rPr>
  </w:style>
  <w:style w:type="character" w:customStyle="1" w:styleId="ad">
    <w:name w:val="批注框文本 字符"/>
    <w:basedOn w:val="a0"/>
    <w:link w:val="ac"/>
    <w:uiPriority w:val="99"/>
    <w:semiHidden/>
    <w:rsid w:val="00FF4A39"/>
    <w:rPr>
      <w:sz w:val="18"/>
      <w:szCs w:val="18"/>
    </w:rPr>
  </w:style>
  <w:style w:type="character" w:styleId="ae">
    <w:name w:val="annotation reference"/>
    <w:basedOn w:val="a0"/>
    <w:uiPriority w:val="99"/>
    <w:semiHidden/>
    <w:unhideWhenUsed/>
    <w:rsid w:val="00A4669F"/>
    <w:rPr>
      <w:sz w:val="21"/>
      <w:szCs w:val="21"/>
    </w:rPr>
  </w:style>
  <w:style w:type="paragraph" w:styleId="af">
    <w:name w:val="annotation text"/>
    <w:basedOn w:val="a"/>
    <w:link w:val="af0"/>
    <w:uiPriority w:val="99"/>
    <w:semiHidden/>
    <w:unhideWhenUsed/>
    <w:rsid w:val="00A4669F"/>
    <w:pPr>
      <w:jc w:val="left"/>
    </w:pPr>
  </w:style>
  <w:style w:type="character" w:customStyle="1" w:styleId="af0">
    <w:name w:val="批注文字 字符"/>
    <w:basedOn w:val="a0"/>
    <w:link w:val="af"/>
    <w:uiPriority w:val="99"/>
    <w:semiHidden/>
    <w:rsid w:val="00A4669F"/>
  </w:style>
  <w:style w:type="paragraph" w:styleId="af1">
    <w:name w:val="annotation subject"/>
    <w:basedOn w:val="af"/>
    <w:next w:val="af"/>
    <w:link w:val="af2"/>
    <w:uiPriority w:val="99"/>
    <w:semiHidden/>
    <w:unhideWhenUsed/>
    <w:rsid w:val="00A4669F"/>
    <w:rPr>
      <w:b/>
      <w:bCs/>
    </w:rPr>
  </w:style>
  <w:style w:type="character" w:customStyle="1" w:styleId="af2">
    <w:name w:val="批注主题 字符"/>
    <w:basedOn w:val="af0"/>
    <w:link w:val="af1"/>
    <w:uiPriority w:val="99"/>
    <w:semiHidden/>
    <w:rsid w:val="00A4669F"/>
    <w:rPr>
      <w:b/>
      <w:bCs/>
    </w:rPr>
  </w:style>
  <w:style w:type="paragraph" w:styleId="af3">
    <w:name w:val="endnote text"/>
    <w:basedOn w:val="a"/>
    <w:link w:val="af4"/>
    <w:uiPriority w:val="99"/>
    <w:semiHidden/>
    <w:unhideWhenUsed/>
    <w:rsid w:val="00C626AD"/>
    <w:pPr>
      <w:snapToGrid w:val="0"/>
      <w:jc w:val="left"/>
    </w:pPr>
  </w:style>
  <w:style w:type="character" w:customStyle="1" w:styleId="af4">
    <w:name w:val="尾注文本 字符"/>
    <w:basedOn w:val="a0"/>
    <w:link w:val="af3"/>
    <w:uiPriority w:val="99"/>
    <w:semiHidden/>
    <w:rsid w:val="00C626AD"/>
  </w:style>
  <w:style w:type="character" w:styleId="af5">
    <w:name w:val="endnote reference"/>
    <w:basedOn w:val="a0"/>
    <w:uiPriority w:val="99"/>
    <w:semiHidden/>
    <w:unhideWhenUsed/>
    <w:rsid w:val="00C626AD"/>
    <w:rPr>
      <w:vertAlign w:val="superscript"/>
    </w:rPr>
  </w:style>
  <w:style w:type="character" w:customStyle="1" w:styleId="10">
    <w:name w:val="标题 1 字符"/>
    <w:basedOn w:val="a0"/>
    <w:link w:val="1"/>
    <w:uiPriority w:val="9"/>
    <w:rsid w:val="001E2FA4"/>
    <w:rPr>
      <w:rFonts w:eastAsia="黑体"/>
      <w:b/>
      <w:bCs/>
      <w:kern w:val="44"/>
      <w:sz w:val="28"/>
      <w:szCs w:val="44"/>
    </w:rPr>
  </w:style>
  <w:style w:type="character" w:customStyle="1" w:styleId="20">
    <w:name w:val="标题 2 字符"/>
    <w:basedOn w:val="a0"/>
    <w:link w:val="2"/>
    <w:uiPriority w:val="9"/>
    <w:rsid w:val="001E2FA4"/>
    <w:rPr>
      <w:rFonts w:asciiTheme="majorHAnsi" w:eastAsia="Times New Roman" w:hAnsiTheme="majorHAnsi" w:cstheme="majorBidi"/>
      <w:b/>
      <w:bCs/>
      <w:sz w:val="28"/>
      <w:szCs w:val="32"/>
    </w:rPr>
  </w:style>
  <w:style w:type="paragraph" w:styleId="21">
    <w:name w:val="toc 2"/>
    <w:basedOn w:val="a"/>
    <w:next w:val="a"/>
    <w:autoRedefine/>
    <w:uiPriority w:val="39"/>
    <w:unhideWhenUsed/>
    <w:rsid w:val="00774A8E"/>
    <w:pPr>
      <w:widowControl/>
      <w:tabs>
        <w:tab w:val="right" w:leader="dot" w:pos="8296"/>
      </w:tabs>
      <w:spacing w:line="360" w:lineRule="auto"/>
      <w:ind w:left="220"/>
      <w:jc w:val="left"/>
    </w:pPr>
    <w:rPr>
      <w:rFonts w:cs="Times New Roman"/>
      <w:kern w:val="0"/>
      <w:sz w:val="22"/>
    </w:rPr>
  </w:style>
  <w:style w:type="paragraph" w:styleId="11">
    <w:name w:val="toc 1"/>
    <w:basedOn w:val="a"/>
    <w:next w:val="a"/>
    <w:autoRedefine/>
    <w:uiPriority w:val="39"/>
    <w:unhideWhenUsed/>
    <w:rsid w:val="00774A8E"/>
    <w:pPr>
      <w:widowControl/>
      <w:tabs>
        <w:tab w:val="right" w:leader="dot" w:pos="8296"/>
      </w:tabs>
      <w:spacing w:line="360" w:lineRule="auto"/>
      <w:jc w:val="left"/>
    </w:pPr>
    <w:rPr>
      <w:rFonts w:cs="Times New Roman"/>
      <w:kern w:val="0"/>
      <w:sz w:val="22"/>
    </w:rPr>
  </w:style>
  <w:style w:type="character" w:styleId="af6">
    <w:name w:val="Hyperlink"/>
    <w:basedOn w:val="a0"/>
    <w:uiPriority w:val="99"/>
    <w:unhideWhenUsed/>
    <w:rsid w:val="00774A8E"/>
    <w:rPr>
      <w:color w:val="0563C1" w:themeColor="hyperlink"/>
      <w:u w:val="single"/>
    </w:rPr>
  </w:style>
  <w:style w:type="character" w:styleId="af7">
    <w:name w:val="line number"/>
    <w:basedOn w:val="a0"/>
    <w:uiPriority w:val="99"/>
    <w:semiHidden/>
    <w:unhideWhenUsed/>
    <w:rsid w:val="00774A8E"/>
  </w:style>
  <w:style w:type="paragraph" w:customStyle="1" w:styleId="Default">
    <w:name w:val="Default"/>
    <w:rsid w:val="00B03D29"/>
    <w:pPr>
      <w:widowControl w:val="0"/>
      <w:autoSpaceDE w:val="0"/>
      <w:autoSpaceDN w:val="0"/>
      <w:adjustRightInd w:val="0"/>
    </w:pPr>
    <w:rPr>
      <w:rFonts w:ascii="Times New Roman" w:hAnsi="Times New Roman" w:cs="Times New Roman"/>
      <w:color w:val="000000"/>
      <w:kern w:val="0"/>
      <w:sz w:val="24"/>
      <w:szCs w:val="24"/>
    </w:rPr>
  </w:style>
  <w:style w:type="character" w:customStyle="1" w:styleId="30">
    <w:name w:val="标题 3 字符"/>
    <w:basedOn w:val="a0"/>
    <w:link w:val="3"/>
    <w:uiPriority w:val="9"/>
    <w:rsid w:val="00605B0D"/>
    <w:rPr>
      <w:rFonts w:eastAsia="SimSun-ExtB"/>
      <w:bCs/>
      <w:sz w:val="24"/>
      <w:szCs w:val="32"/>
    </w:rPr>
  </w:style>
  <w:style w:type="character" w:customStyle="1" w:styleId="UnresolvedMention">
    <w:name w:val="Unresolved Mention"/>
    <w:basedOn w:val="a0"/>
    <w:uiPriority w:val="99"/>
    <w:semiHidden/>
    <w:unhideWhenUsed/>
    <w:rsid w:val="00605B0D"/>
    <w:rPr>
      <w:color w:val="605E5C"/>
      <w:shd w:val="clear" w:color="auto" w:fill="E1DFDD"/>
    </w:rPr>
  </w:style>
  <w:style w:type="character" w:styleId="af8">
    <w:name w:val="FollowedHyperlink"/>
    <w:basedOn w:val="a0"/>
    <w:uiPriority w:val="99"/>
    <w:semiHidden/>
    <w:unhideWhenUsed/>
    <w:rsid w:val="00E91318"/>
    <w:rPr>
      <w:color w:val="954F72" w:themeColor="followedHyperlink"/>
      <w:u w:val="single"/>
    </w:rPr>
  </w:style>
  <w:style w:type="paragraph" w:styleId="TOC">
    <w:name w:val="TOC Heading"/>
    <w:basedOn w:val="1"/>
    <w:next w:val="a"/>
    <w:uiPriority w:val="39"/>
    <w:semiHidden/>
    <w:unhideWhenUsed/>
    <w:qFormat/>
    <w:rsid w:val="00876A4F"/>
    <w:pPr>
      <w:spacing w:before="340" w:after="330" w:line="578" w:lineRule="auto"/>
      <w:outlineLvl w:val="9"/>
    </w:pPr>
    <w:rPr>
      <w:rFonts w:eastAsiaTheme="minorEastAsia"/>
      <w:sz w:val="44"/>
    </w:rPr>
  </w:style>
  <w:style w:type="table" w:customStyle="1" w:styleId="12">
    <w:name w:val="网格型1"/>
    <w:basedOn w:val="a1"/>
    <w:next w:val="ab"/>
    <w:uiPriority w:val="39"/>
    <w:rsid w:val="00876A4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4789">
      <w:bodyDiv w:val="1"/>
      <w:marLeft w:val="0"/>
      <w:marRight w:val="0"/>
      <w:marTop w:val="0"/>
      <w:marBottom w:val="0"/>
      <w:divBdr>
        <w:top w:val="none" w:sz="0" w:space="0" w:color="auto"/>
        <w:left w:val="none" w:sz="0" w:space="0" w:color="auto"/>
        <w:bottom w:val="none" w:sz="0" w:space="0" w:color="auto"/>
        <w:right w:val="none" w:sz="0" w:space="0" w:color="auto"/>
      </w:divBdr>
    </w:div>
    <w:div w:id="783377981">
      <w:bodyDiv w:val="1"/>
      <w:marLeft w:val="0"/>
      <w:marRight w:val="0"/>
      <w:marTop w:val="0"/>
      <w:marBottom w:val="0"/>
      <w:divBdr>
        <w:top w:val="none" w:sz="0" w:space="0" w:color="auto"/>
        <w:left w:val="none" w:sz="0" w:space="0" w:color="auto"/>
        <w:bottom w:val="none" w:sz="0" w:space="0" w:color="auto"/>
        <w:right w:val="none" w:sz="0" w:space="0" w:color="auto"/>
      </w:divBdr>
    </w:div>
    <w:div w:id="848980743">
      <w:bodyDiv w:val="1"/>
      <w:marLeft w:val="0"/>
      <w:marRight w:val="0"/>
      <w:marTop w:val="0"/>
      <w:marBottom w:val="0"/>
      <w:divBdr>
        <w:top w:val="none" w:sz="0" w:space="0" w:color="auto"/>
        <w:left w:val="none" w:sz="0" w:space="0" w:color="auto"/>
        <w:bottom w:val="none" w:sz="0" w:space="0" w:color="auto"/>
        <w:right w:val="none" w:sz="0" w:space="0" w:color="auto"/>
      </w:divBdr>
    </w:div>
    <w:div w:id="943269968">
      <w:bodyDiv w:val="1"/>
      <w:marLeft w:val="0"/>
      <w:marRight w:val="0"/>
      <w:marTop w:val="0"/>
      <w:marBottom w:val="0"/>
      <w:divBdr>
        <w:top w:val="none" w:sz="0" w:space="0" w:color="auto"/>
        <w:left w:val="none" w:sz="0" w:space="0" w:color="auto"/>
        <w:bottom w:val="none" w:sz="0" w:space="0" w:color="auto"/>
        <w:right w:val="none" w:sz="0" w:space="0" w:color="auto"/>
      </w:divBdr>
    </w:div>
    <w:div w:id="1928341556">
      <w:bodyDiv w:val="1"/>
      <w:marLeft w:val="0"/>
      <w:marRight w:val="0"/>
      <w:marTop w:val="0"/>
      <w:marBottom w:val="0"/>
      <w:divBdr>
        <w:top w:val="none" w:sz="0" w:space="0" w:color="auto"/>
        <w:left w:val="none" w:sz="0" w:space="0" w:color="auto"/>
        <w:bottom w:val="none" w:sz="0" w:space="0" w:color="auto"/>
        <w:right w:val="none" w:sz="0" w:space="0" w:color="auto"/>
      </w:divBdr>
    </w:div>
    <w:div w:id="1961569086">
      <w:bodyDiv w:val="1"/>
      <w:marLeft w:val="0"/>
      <w:marRight w:val="0"/>
      <w:marTop w:val="0"/>
      <w:marBottom w:val="0"/>
      <w:divBdr>
        <w:top w:val="none" w:sz="0" w:space="0" w:color="auto"/>
        <w:left w:val="none" w:sz="0" w:space="0" w:color="auto"/>
        <w:bottom w:val="none" w:sz="0" w:space="0" w:color="auto"/>
        <w:right w:val="none" w:sz="0" w:space="0" w:color="auto"/>
      </w:divBdr>
    </w:div>
    <w:div w:id="2008752240">
      <w:bodyDiv w:val="1"/>
      <w:marLeft w:val="0"/>
      <w:marRight w:val="0"/>
      <w:marTop w:val="0"/>
      <w:marBottom w:val="0"/>
      <w:divBdr>
        <w:top w:val="none" w:sz="0" w:space="0" w:color="auto"/>
        <w:left w:val="none" w:sz="0" w:space="0" w:color="auto"/>
        <w:bottom w:val="none" w:sz="0" w:space="0" w:color="auto"/>
        <w:right w:val="none" w:sz="0" w:space="0" w:color="auto"/>
      </w:divBdr>
    </w:div>
    <w:div w:id="20257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AC83-C19C-44B7-8C87-DFCEAA4D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信息运维人员03</cp:lastModifiedBy>
  <cp:revision>598</cp:revision>
  <cp:lastPrinted>2020-07-27T13:20:00Z</cp:lastPrinted>
  <dcterms:created xsi:type="dcterms:W3CDTF">2019-09-27T04:27:00Z</dcterms:created>
  <dcterms:modified xsi:type="dcterms:W3CDTF">2020-08-03T03:11:00Z</dcterms:modified>
</cp:coreProperties>
</file>