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415" w:rsidRDefault="00217415">
      <w:pPr>
        <w:widowControl/>
        <w:spacing w:line="360" w:lineRule="auto"/>
        <w:ind w:firstLineChars="200" w:firstLine="723"/>
        <w:jc w:val="center"/>
        <w:rPr>
          <w:rFonts w:ascii="方正小标宋简体" w:eastAsia="方正小标宋简体" w:hAnsi="仿宋" w:cs="Arial Unicode MS"/>
          <w:b/>
          <w:color w:val="000000"/>
          <w:kern w:val="0"/>
          <w:sz w:val="36"/>
          <w:szCs w:val="32"/>
          <w:lang w:val="zh-CN"/>
        </w:rPr>
      </w:pPr>
    </w:p>
    <w:p w:rsidR="00217415" w:rsidRDefault="00217415">
      <w:pPr>
        <w:widowControl/>
        <w:spacing w:line="360" w:lineRule="auto"/>
        <w:ind w:firstLineChars="200" w:firstLine="723"/>
        <w:jc w:val="center"/>
        <w:rPr>
          <w:rFonts w:ascii="方正小标宋简体" w:eastAsia="方正小标宋简体" w:hAnsi="仿宋" w:cs="Arial Unicode MS"/>
          <w:b/>
          <w:color w:val="000000"/>
          <w:kern w:val="0"/>
          <w:sz w:val="36"/>
          <w:szCs w:val="32"/>
          <w:lang w:val="zh-CN"/>
        </w:rPr>
      </w:pPr>
    </w:p>
    <w:p w:rsidR="00217415" w:rsidRDefault="00217415">
      <w:pPr>
        <w:widowControl/>
        <w:spacing w:line="360" w:lineRule="auto"/>
        <w:ind w:firstLineChars="200" w:firstLine="723"/>
        <w:jc w:val="center"/>
        <w:rPr>
          <w:rFonts w:ascii="方正小标宋简体" w:eastAsia="方正小标宋简体" w:hAnsi="仿宋" w:cs="Arial Unicode MS"/>
          <w:b/>
          <w:color w:val="000000"/>
          <w:kern w:val="0"/>
          <w:sz w:val="36"/>
          <w:szCs w:val="32"/>
          <w:lang w:val="zh-CN"/>
        </w:rPr>
      </w:pPr>
    </w:p>
    <w:p w:rsidR="00217415" w:rsidRDefault="00217415">
      <w:pPr>
        <w:widowControl/>
        <w:spacing w:line="360" w:lineRule="auto"/>
        <w:ind w:firstLineChars="200" w:firstLine="723"/>
        <w:jc w:val="center"/>
        <w:rPr>
          <w:rFonts w:ascii="方正小标宋简体" w:eastAsia="方正小标宋简体" w:hAnsi="仿宋" w:cs="Arial Unicode MS"/>
          <w:b/>
          <w:color w:val="000000"/>
          <w:kern w:val="0"/>
          <w:sz w:val="36"/>
          <w:szCs w:val="32"/>
          <w:lang w:val="zh-CN"/>
        </w:rPr>
      </w:pPr>
    </w:p>
    <w:p w:rsidR="00217415" w:rsidRDefault="00217415">
      <w:pPr>
        <w:widowControl/>
        <w:spacing w:line="360" w:lineRule="auto"/>
        <w:ind w:firstLineChars="200" w:firstLine="723"/>
        <w:jc w:val="center"/>
        <w:rPr>
          <w:rFonts w:ascii="方正小标宋简体" w:eastAsia="方正小标宋简体" w:hAnsi="仿宋" w:cs="Arial Unicode MS"/>
          <w:b/>
          <w:color w:val="000000"/>
          <w:kern w:val="0"/>
          <w:sz w:val="36"/>
          <w:szCs w:val="32"/>
          <w:lang w:val="zh-CN"/>
        </w:rPr>
      </w:pPr>
    </w:p>
    <w:p w:rsidR="0085096E" w:rsidRDefault="008256AB">
      <w:pPr>
        <w:widowControl/>
        <w:adjustRightInd w:val="0"/>
        <w:snapToGrid w:val="0"/>
        <w:jc w:val="center"/>
        <w:rPr>
          <w:rFonts w:ascii="方正小标宋简体" w:eastAsia="方正小标宋简体" w:hAnsi="仿宋" w:cs="Arial Unicode MS"/>
          <w:color w:val="000000"/>
          <w:kern w:val="0"/>
          <w:sz w:val="48"/>
          <w:szCs w:val="48"/>
          <w:lang w:val="zh-CN"/>
        </w:rPr>
      </w:pPr>
      <w:r>
        <w:rPr>
          <w:rFonts w:ascii="方正小标宋简体" w:eastAsia="方正小标宋简体" w:hAnsi="仿宋" w:cs="Arial Unicode MS" w:hint="eastAsia"/>
          <w:color w:val="000000"/>
          <w:kern w:val="0"/>
          <w:sz w:val="48"/>
          <w:szCs w:val="48"/>
          <w:lang w:val="zh-CN"/>
        </w:rPr>
        <w:t>境外已上市境内未上市药品</w:t>
      </w:r>
    </w:p>
    <w:p w:rsidR="00217415" w:rsidRDefault="008256AB">
      <w:pPr>
        <w:widowControl/>
        <w:adjustRightInd w:val="0"/>
        <w:snapToGrid w:val="0"/>
        <w:jc w:val="center"/>
        <w:rPr>
          <w:rFonts w:ascii="方正小标宋简体" w:eastAsia="方正小标宋简体" w:hAnsi="仿宋" w:cs="Arial Unicode MS"/>
          <w:color w:val="000000"/>
          <w:kern w:val="0"/>
          <w:sz w:val="48"/>
          <w:szCs w:val="48"/>
          <w:lang w:val="zh-CN"/>
        </w:rPr>
      </w:pPr>
      <w:r>
        <w:rPr>
          <w:rFonts w:ascii="方正小标宋简体" w:eastAsia="方正小标宋简体" w:hAnsi="仿宋" w:cs="Arial Unicode MS" w:hint="eastAsia"/>
          <w:color w:val="000000"/>
          <w:kern w:val="0"/>
          <w:sz w:val="48"/>
          <w:szCs w:val="48"/>
          <w:lang w:val="zh-CN"/>
        </w:rPr>
        <w:t>临床技术要求</w:t>
      </w:r>
    </w:p>
    <w:p w:rsidR="00217415" w:rsidRDefault="00217415">
      <w:pPr>
        <w:widowControl/>
        <w:spacing w:line="360" w:lineRule="auto"/>
        <w:ind w:firstLineChars="200" w:firstLine="723"/>
        <w:jc w:val="center"/>
        <w:rPr>
          <w:rFonts w:ascii="方正小标宋简体" w:eastAsia="方正小标宋简体" w:hAnsi="仿宋" w:cs="Arial Unicode MS"/>
          <w:b/>
          <w:color w:val="000000"/>
          <w:kern w:val="0"/>
          <w:sz w:val="36"/>
          <w:szCs w:val="32"/>
          <w:lang w:val="zh-CN"/>
        </w:rPr>
      </w:pPr>
    </w:p>
    <w:p w:rsidR="00217415" w:rsidRDefault="00217415">
      <w:pPr>
        <w:widowControl/>
        <w:spacing w:line="360" w:lineRule="auto"/>
        <w:ind w:firstLineChars="200" w:firstLine="723"/>
        <w:jc w:val="center"/>
        <w:rPr>
          <w:rFonts w:ascii="方正小标宋简体" w:eastAsia="方正小标宋简体" w:hAnsi="仿宋" w:cs="Arial Unicode MS"/>
          <w:b/>
          <w:color w:val="000000"/>
          <w:kern w:val="0"/>
          <w:sz w:val="36"/>
          <w:szCs w:val="32"/>
          <w:lang w:val="zh-CN"/>
        </w:rPr>
      </w:pPr>
    </w:p>
    <w:p w:rsidR="00217415" w:rsidRDefault="00217415">
      <w:pPr>
        <w:widowControl/>
        <w:spacing w:line="360" w:lineRule="auto"/>
        <w:ind w:firstLineChars="200" w:firstLine="723"/>
        <w:jc w:val="center"/>
        <w:rPr>
          <w:rFonts w:ascii="方正小标宋简体" w:eastAsia="方正小标宋简体" w:hAnsi="仿宋" w:cs="Arial Unicode MS"/>
          <w:b/>
          <w:color w:val="000000"/>
          <w:kern w:val="0"/>
          <w:sz w:val="36"/>
          <w:szCs w:val="32"/>
          <w:lang w:val="zh-CN"/>
        </w:rPr>
      </w:pPr>
    </w:p>
    <w:p w:rsidR="00217415" w:rsidRDefault="00217415">
      <w:pPr>
        <w:widowControl/>
        <w:spacing w:line="360" w:lineRule="auto"/>
        <w:ind w:firstLineChars="200" w:firstLine="723"/>
        <w:jc w:val="center"/>
        <w:rPr>
          <w:rFonts w:ascii="方正小标宋简体" w:eastAsia="方正小标宋简体" w:hAnsi="仿宋" w:cs="Arial Unicode MS"/>
          <w:b/>
          <w:color w:val="000000"/>
          <w:kern w:val="0"/>
          <w:sz w:val="36"/>
          <w:szCs w:val="32"/>
          <w:lang w:val="zh-CN"/>
        </w:rPr>
      </w:pPr>
    </w:p>
    <w:p w:rsidR="00217415" w:rsidRDefault="00217415">
      <w:pPr>
        <w:widowControl/>
        <w:spacing w:line="360" w:lineRule="auto"/>
        <w:ind w:firstLineChars="200" w:firstLine="723"/>
        <w:jc w:val="center"/>
        <w:rPr>
          <w:rFonts w:ascii="方正小标宋简体" w:eastAsia="方正小标宋简体" w:hAnsi="仿宋" w:cs="Arial Unicode MS"/>
          <w:b/>
          <w:color w:val="000000"/>
          <w:kern w:val="0"/>
          <w:sz w:val="36"/>
          <w:szCs w:val="32"/>
          <w:lang w:val="zh-CN"/>
        </w:rPr>
      </w:pPr>
    </w:p>
    <w:p w:rsidR="00217415" w:rsidRDefault="00217415">
      <w:pPr>
        <w:widowControl/>
        <w:spacing w:line="360" w:lineRule="auto"/>
        <w:ind w:firstLineChars="200" w:firstLine="723"/>
        <w:jc w:val="center"/>
        <w:rPr>
          <w:rFonts w:ascii="方正小标宋简体" w:eastAsia="方正小标宋简体" w:hAnsi="仿宋" w:cs="Arial Unicode MS"/>
          <w:b/>
          <w:color w:val="000000"/>
          <w:kern w:val="0"/>
          <w:sz w:val="36"/>
          <w:szCs w:val="32"/>
          <w:lang w:val="zh-CN"/>
        </w:rPr>
      </w:pPr>
    </w:p>
    <w:p w:rsidR="00217415" w:rsidRDefault="00217415">
      <w:pPr>
        <w:widowControl/>
        <w:spacing w:line="360" w:lineRule="auto"/>
        <w:ind w:firstLineChars="200" w:firstLine="723"/>
        <w:jc w:val="center"/>
        <w:rPr>
          <w:rFonts w:ascii="方正小标宋简体" w:eastAsia="方正小标宋简体" w:hAnsi="仿宋" w:cs="Arial Unicode MS"/>
          <w:b/>
          <w:color w:val="000000"/>
          <w:kern w:val="0"/>
          <w:sz w:val="36"/>
          <w:szCs w:val="32"/>
          <w:lang w:val="zh-CN"/>
        </w:rPr>
      </w:pPr>
    </w:p>
    <w:p w:rsidR="00217415" w:rsidRDefault="00217415">
      <w:pPr>
        <w:widowControl/>
        <w:spacing w:line="360" w:lineRule="auto"/>
        <w:ind w:firstLineChars="200" w:firstLine="723"/>
        <w:jc w:val="center"/>
        <w:rPr>
          <w:rFonts w:ascii="方正小标宋简体" w:eastAsia="方正小标宋简体" w:hAnsi="仿宋" w:cs="Arial Unicode MS"/>
          <w:b/>
          <w:color w:val="000000"/>
          <w:kern w:val="0"/>
          <w:sz w:val="36"/>
          <w:szCs w:val="32"/>
          <w:lang w:val="zh-CN"/>
        </w:rPr>
      </w:pPr>
    </w:p>
    <w:p w:rsidR="00217415" w:rsidRDefault="00217415">
      <w:pPr>
        <w:widowControl/>
        <w:spacing w:line="360" w:lineRule="auto"/>
        <w:ind w:firstLineChars="200" w:firstLine="723"/>
        <w:jc w:val="center"/>
        <w:rPr>
          <w:rFonts w:ascii="方正小标宋简体" w:eastAsia="方正小标宋简体" w:hAnsi="仿宋" w:cs="Arial Unicode MS"/>
          <w:b/>
          <w:color w:val="000000"/>
          <w:kern w:val="0"/>
          <w:sz w:val="36"/>
          <w:szCs w:val="32"/>
          <w:lang w:val="zh-CN"/>
        </w:rPr>
      </w:pPr>
    </w:p>
    <w:p w:rsidR="00217415" w:rsidRDefault="008256AB">
      <w:pPr>
        <w:widowControl/>
        <w:spacing w:line="360" w:lineRule="auto"/>
        <w:ind w:firstLineChars="200" w:firstLine="640"/>
        <w:jc w:val="center"/>
        <w:rPr>
          <w:rFonts w:ascii="仿宋_GB2312" w:eastAsia="仿宋_GB2312" w:hAnsi="仿宋" w:cs="Arial Unicode MS"/>
          <w:color w:val="000000"/>
          <w:kern w:val="0"/>
          <w:sz w:val="32"/>
          <w:szCs w:val="32"/>
          <w:lang w:val="zh-CN"/>
        </w:rPr>
      </w:pPr>
      <w:r>
        <w:rPr>
          <w:rFonts w:ascii="仿宋_GB2312" w:eastAsia="仿宋_GB2312" w:hAnsi="仿宋" w:cs="Arial Unicode MS" w:hint="eastAsia"/>
          <w:color w:val="000000"/>
          <w:kern w:val="0"/>
          <w:sz w:val="32"/>
          <w:szCs w:val="32"/>
          <w:lang w:val="zh-CN"/>
        </w:rPr>
        <w:t>药审中心</w:t>
      </w:r>
    </w:p>
    <w:p w:rsidR="00217415" w:rsidRDefault="0085096E">
      <w:pPr>
        <w:widowControl/>
        <w:spacing w:line="360" w:lineRule="auto"/>
        <w:ind w:firstLineChars="200" w:firstLine="640"/>
        <w:jc w:val="center"/>
        <w:rPr>
          <w:rFonts w:ascii="仿宋_GB2312" w:eastAsia="仿宋_GB2312" w:hAnsi="仿宋" w:cs="Arial Unicode MS"/>
          <w:color w:val="000000"/>
          <w:kern w:val="0"/>
          <w:sz w:val="32"/>
          <w:szCs w:val="32"/>
          <w:lang w:val="zh-CN"/>
        </w:rPr>
        <w:sectPr w:rsidR="00217415">
          <w:footerReference w:type="default" r:id="rId9"/>
          <w:pgSz w:w="11906" w:h="16838"/>
          <w:pgMar w:top="1440" w:right="1800" w:bottom="1440" w:left="1800" w:header="851" w:footer="992" w:gutter="0"/>
          <w:cols w:space="425"/>
          <w:docGrid w:type="lines" w:linePitch="312"/>
        </w:sectPr>
      </w:pPr>
      <w:r>
        <w:rPr>
          <w:rFonts w:ascii="仿宋_GB2312" w:eastAsia="仿宋_GB2312" w:hAnsi="仿宋" w:cs="Arial Unicode MS" w:hint="eastAsia"/>
          <w:color w:val="000000"/>
          <w:kern w:val="0"/>
          <w:sz w:val="32"/>
          <w:szCs w:val="32"/>
          <w:lang w:val="zh-CN"/>
        </w:rPr>
        <w:t>2020年</w:t>
      </w:r>
      <w:r>
        <w:rPr>
          <w:rFonts w:ascii="仿宋_GB2312" w:eastAsia="仿宋_GB2312" w:hAnsi="仿宋" w:cs="Arial Unicode MS"/>
          <w:color w:val="000000"/>
          <w:kern w:val="0"/>
          <w:sz w:val="32"/>
          <w:szCs w:val="32"/>
          <w:lang w:val="zh-CN"/>
        </w:rPr>
        <w:t>10</w:t>
      </w:r>
      <w:r>
        <w:rPr>
          <w:rFonts w:ascii="仿宋_GB2312" w:eastAsia="仿宋_GB2312" w:hAnsi="仿宋" w:cs="Arial Unicode MS" w:hint="eastAsia"/>
          <w:color w:val="000000"/>
          <w:kern w:val="0"/>
          <w:sz w:val="32"/>
          <w:szCs w:val="32"/>
          <w:lang w:val="zh-CN"/>
        </w:rPr>
        <w:t>月</w:t>
      </w:r>
    </w:p>
    <w:sdt>
      <w:sdtPr>
        <w:rPr>
          <w:lang w:val="zh-CN"/>
        </w:rPr>
        <w:id w:val="-1455012700"/>
        <w:docPartObj>
          <w:docPartGallery w:val="Table of Contents"/>
          <w:docPartUnique/>
        </w:docPartObj>
      </w:sdtPr>
      <w:sdtEndPr>
        <w:rPr>
          <w:rFonts w:ascii="仿宋_GB2312" w:eastAsia="仿宋_GB2312" w:hint="eastAsia"/>
          <w:b/>
          <w:bCs/>
          <w:sz w:val="32"/>
          <w:szCs w:val="32"/>
        </w:rPr>
      </w:sdtEndPr>
      <w:sdtContent>
        <w:p w:rsidR="00217415" w:rsidRDefault="008256AB">
          <w:pPr>
            <w:keepNext/>
            <w:keepLines/>
            <w:widowControl/>
            <w:spacing w:before="240"/>
            <w:jc w:val="center"/>
            <w:rPr>
              <w:rFonts w:ascii="方正小标宋简体" w:eastAsia="方正小标宋简体" w:hAnsiTheme="majorHAnsi" w:cstheme="majorBidi"/>
              <w:kern w:val="0"/>
              <w:sz w:val="36"/>
              <w:szCs w:val="36"/>
            </w:rPr>
          </w:pPr>
          <w:r>
            <w:rPr>
              <w:rFonts w:ascii="方正小标宋简体" w:eastAsia="方正小标宋简体" w:hAnsiTheme="majorHAnsi" w:cstheme="majorBidi" w:hint="eastAsia"/>
              <w:kern w:val="0"/>
              <w:sz w:val="36"/>
              <w:szCs w:val="36"/>
              <w:lang w:val="zh-CN"/>
            </w:rPr>
            <w:t>目录</w:t>
          </w:r>
        </w:p>
        <w:p w:rsidR="008810D2" w:rsidRPr="008810D2" w:rsidRDefault="008256AB">
          <w:pPr>
            <w:pStyle w:val="1"/>
            <w:tabs>
              <w:tab w:val="right" w:leader="dot" w:pos="8302"/>
            </w:tabs>
            <w:rPr>
              <w:rFonts w:ascii="仿宋_GB2312" w:eastAsia="仿宋_GB2312" w:hint="eastAsia"/>
              <w:noProof/>
              <w:sz w:val="32"/>
              <w:szCs w:val="32"/>
            </w:rPr>
          </w:pPr>
          <w:r>
            <w:rPr>
              <w:rFonts w:ascii="仿宋_GB2312" w:eastAsia="仿宋_GB2312" w:cs="Times New Roman" w:hint="eastAsia"/>
              <w:kern w:val="0"/>
              <w:sz w:val="32"/>
              <w:szCs w:val="32"/>
            </w:rPr>
            <w:fldChar w:fldCharType="begin"/>
          </w:r>
          <w:r>
            <w:rPr>
              <w:rFonts w:ascii="仿宋_GB2312" w:eastAsia="仿宋_GB2312" w:cs="Times New Roman" w:hint="eastAsia"/>
              <w:kern w:val="0"/>
              <w:sz w:val="32"/>
              <w:szCs w:val="32"/>
            </w:rPr>
            <w:instrText xml:space="preserve"> TOC \o "1-3" \h \z \u </w:instrText>
          </w:r>
          <w:r>
            <w:rPr>
              <w:rFonts w:ascii="仿宋_GB2312" w:eastAsia="仿宋_GB2312" w:cs="Times New Roman" w:hint="eastAsia"/>
              <w:kern w:val="0"/>
              <w:sz w:val="32"/>
              <w:szCs w:val="32"/>
            </w:rPr>
            <w:fldChar w:fldCharType="separate"/>
          </w:r>
          <w:hyperlink w:anchor="_Toc53394214" w:history="1">
            <w:r w:rsidR="008810D2" w:rsidRPr="008810D2">
              <w:rPr>
                <w:rStyle w:val="a9"/>
                <w:rFonts w:ascii="仿宋_GB2312" w:eastAsia="仿宋_GB2312" w:hAnsi="黑体" w:cs="Times" w:hint="eastAsia"/>
                <w:noProof/>
                <w:kern w:val="0"/>
                <w:sz w:val="32"/>
                <w:szCs w:val="32"/>
                <w:lang w:val="zh-CN"/>
              </w:rPr>
              <w:t>一、背景</w:t>
            </w:r>
            <w:r w:rsidR="008810D2" w:rsidRPr="008810D2">
              <w:rPr>
                <w:rFonts w:ascii="仿宋_GB2312" w:eastAsia="仿宋_GB2312" w:hint="eastAsia"/>
                <w:noProof/>
                <w:webHidden/>
                <w:sz w:val="32"/>
                <w:szCs w:val="32"/>
              </w:rPr>
              <w:tab/>
            </w:r>
            <w:r w:rsidR="008810D2" w:rsidRPr="008810D2">
              <w:rPr>
                <w:rFonts w:ascii="仿宋_GB2312" w:eastAsia="仿宋_GB2312" w:hint="eastAsia"/>
                <w:noProof/>
                <w:webHidden/>
                <w:sz w:val="32"/>
                <w:szCs w:val="32"/>
              </w:rPr>
              <w:fldChar w:fldCharType="begin"/>
            </w:r>
            <w:r w:rsidR="008810D2" w:rsidRPr="008810D2">
              <w:rPr>
                <w:rFonts w:ascii="仿宋_GB2312" w:eastAsia="仿宋_GB2312" w:hint="eastAsia"/>
                <w:noProof/>
                <w:webHidden/>
                <w:sz w:val="32"/>
                <w:szCs w:val="32"/>
              </w:rPr>
              <w:instrText xml:space="preserve"> PAGEREF _Toc53394214 \h </w:instrText>
            </w:r>
            <w:r w:rsidR="008810D2" w:rsidRPr="008810D2">
              <w:rPr>
                <w:rFonts w:ascii="仿宋_GB2312" w:eastAsia="仿宋_GB2312" w:hint="eastAsia"/>
                <w:noProof/>
                <w:webHidden/>
                <w:sz w:val="32"/>
                <w:szCs w:val="32"/>
              </w:rPr>
            </w:r>
            <w:r w:rsidR="008810D2" w:rsidRPr="008810D2">
              <w:rPr>
                <w:rFonts w:ascii="仿宋_GB2312" w:eastAsia="仿宋_GB2312" w:hint="eastAsia"/>
                <w:noProof/>
                <w:webHidden/>
                <w:sz w:val="32"/>
                <w:szCs w:val="32"/>
              </w:rPr>
              <w:fldChar w:fldCharType="separate"/>
            </w:r>
            <w:r w:rsidR="008810D2" w:rsidRPr="008810D2">
              <w:rPr>
                <w:rFonts w:ascii="仿宋_GB2312" w:eastAsia="仿宋_GB2312" w:hint="eastAsia"/>
                <w:noProof/>
                <w:webHidden/>
                <w:sz w:val="32"/>
                <w:szCs w:val="32"/>
              </w:rPr>
              <w:t>1</w:t>
            </w:r>
            <w:r w:rsidR="008810D2" w:rsidRPr="008810D2">
              <w:rPr>
                <w:rFonts w:ascii="仿宋_GB2312" w:eastAsia="仿宋_GB2312" w:hint="eastAsia"/>
                <w:noProof/>
                <w:webHidden/>
                <w:sz w:val="32"/>
                <w:szCs w:val="32"/>
              </w:rPr>
              <w:fldChar w:fldCharType="end"/>
            </w:r>
          </w:hyperlink>
        </w:p>
        <w:p w:rsidR="008810D2" w:rsidRPr="008810D2" w:rsidRDefault="008810D2">
          <w:pPr>
            <w:pStyle w:val="1"/>
            <w:tabs>
              <w:tab w:val="right" w:leader="dot" w:pos="8302"/>
            </w:tabs>
            <w:rPr>
              <w:rFonts w:ascii="仿宋_GB2312" w:eastAsia="仿宋_GB2312" w:hint="eastAsia"/>
              <w:noProof/>
              <w:sz w:val="32"/>
              <w:szCs w:val="32"/>
            </w:rPr>
          </w:pPr>
          <w:hyperlink w:anchor="_Toc53394215" w:history="1">
            <w:r w:rsidRPr="008810D2">
              <w:rPr>
                <w:rStyle w:val="a9"/>
                <w:rFonts w:ascii="仿宋_GB2312" w:eastAsia="仿宋_GB2312" w:hAnsi="黑体" w:cs="Times" w:hint="eastAsia"/>
                <w:noProof/>
                <w:kern w:val="0"/>
                <w:sz w:val="32"/>
                <w:szCs w:val="32"/>
                <w:lang w:val="zh-CN"/>
              </w:rPr>
              <w:t>二、适用范围</w:t>
            </w:r>
            <w:r w:rsidRPr="008810D2">
              <w:rPr>
                <w:rFonts w:ascii="仿宋_GB2312" w:eastAsia="仿宋_GB2312" w:hint="eastAsia"/>
                <w:noProof/>
                <w:webHidden/>
                <w:sz w:val="32"/>
                <w:szCs w:val="32"/>
              </w:rPr>
              <w:tab/>
            </w:r>
            <w:r w:rsidRPr="008810D2">
              <w:rPr>
                <w:rFonts w:ascii="仿宋_GB2312" w:eastAsia="仿宋_GB2312" w:hint="eastAsia"/>
                <w:noProof/>
                <w:webHidden/>
                <w:sz w:val="32"/>
                <w:szCs w:val="32"/>
              </w:rPr>
              <w:fldChar w:fldCharType="begin"/>
            </w:r>
            <w:r w:rsidRPr="008810D2">
              <w:rPr>
                <w:rFonts w:ascii="仿宋_GB2312" w:eastAsia="仿宋_GB2312" w:hint="eastAsia"/>
                <w:noProof/>
                <w:webHidden/>
                <w:sz w:val="32"/>
                <w:szCs w:val="32"/>
              </w:rPr>
              <w:instrText xml:space="preserve"> PAGEREF _Toc53394215 \h </w:instrText>
            </w:r>
            <w:r w:rsidRPr="008810D2">
              <w:rPr>
                <w:rFonts w:ascii="仿宋_GB2312" w:eastAsia="仿宋_GB2312" w:hint="eastAsia"/>
                <w:noProof/>
                <w:webHidden/>
                <w:sz w:val="32"/>
                <w:szCs w:val="32"/>
              </w:rPr>
            </w:r>
            <w:r w:rsidRPr="008810D2">
              <w:rPr>
                <w:rFonts w:ascii="仿宋_GB2312" w:eastAsia="仿宋_GB2312" w:hint="eastAsia"/>
                <w:noProof/>
                <w:webHidden/>
                <w:sz w:val="32"/>
                <w:szCs w:val="32"/>
              </w:rPr>
              <w:fldChar w:fldCharType="separate"/>
            </w:r>
            <w:r w:rsidRPr="008810D2">
              <w:rPr>
                <w:rFonts w:ascii="仿宋_GB2312" w:eastAsia="仿宋_GB2312" w:hint="eastAsia"/>
                <w:noProof/>
                <w:webHidden/>
                <w:sz w:val="32"/>
                <w:szCs w:val="32"/>
              </w:rPr>
              <w:t>1</w:t>
            </w:r>
            <w:r w:rsidRPr="008810D2">
              <w:rPr>
                <w:rFonts w:ascii="仿宋_GB2312" w:eastAsia="仿宋_GB2312" w:hint="eastAsia"/>
                <w:noProof/>
                <w:webHidden/>
                <w:sz w:val="32"/>
                <w:szCs w:val="32"/>
              </w:rPr>
              <w:fldChar w:fldCharType="end"/>
            </w:r>
          </w:hyperlink>
        </w:p>
        <w:p w:rsidR="008810D2" w:rsidRPr="008810D2" w:rsidRDefault="008810D2">
          <w:pPr>
            <w:pStyle w:val="1"/>
            <w:tabs>
              <w:tab w:val="right" w:leader="dot" w:pos="8302"/>
            </w:tabs>
            <w:rPr>
              <w:rFonts w:ascii="仿宋_GB2312" w:eastAsia="仿宋_GB2312" w:hint="eastAsia"/>
              <w:noProof/>
              <w:sz w:val="32"/>
              <w:szCs w:val="32"/>
            </w:rPr>
          </w:pPr>
          <w:hyperlink w:anchor="_Toc53394216" w:history="1">
            <w:r w:rsidRPr="008810D2">
              <w:rPr>
                <w:rStyle w:val="a9"/>
                <w:rFonts w:ascii="仿宋_GB2312" w:eastAsia="仿宋_GB2312" w:hAnsi="黑体" w:cs="Times" w:hint="eastAsia"/>
                <w:noProof/>
                <w:kern w:val="0"/>
                <w:sz w:val="32"/>
                <w:szCs w:val="32"/>
                <w:lang w:val="zh-CN"/>
              </w:rPr>
              <w:t>三、基本考虑</w:t>
            </w:r>
            <w:r w:rsidRPr="008810D2">
              <w:rPr>
                <w:rFonts w:ascii="仿宋_GB2312" w:eastAsia="仿宋_GB2312" w:hint="eastAsia"/>
                <w:noProof/>
                <w:webHidden/>
                <w:sz w:val="32"/>
                <w:szCs w:val="32"/>
              </w:rPr>
              <w:tab/>
            </w:r>
            <w:r w:rsidRPr="008810D2">
              <w:rPr>
                <w:rFonts w:ascii="仿宋_GB2312" w:eastAsia="仿宋_GB2312" w:hint="eastAsia"/>
                <w:noProof/>
                <w:webHidden/>
                <w:sz w:val="32"/>
                <w:szCs w:val="32"/>
              </w:rPr>
              <w:fldChar w:fldCharType="begin"/>
            </w:r>
            <w:r w:rsidRPr="008810D2">
              <w:rPr>
                <w:rFonts w:ascii="仿宋_GB2312" w:eastAsia="仿宋_GB2312" w:hint="eastAsia"/>
                <w:noProof/>
                <w:webHidden/>
                <w:sz w:val="32"/>
                <w:szCs w:val="32"/>
              </w:rPr>
              <w:instrText xml:space="preserve"> PAGEREF _Toc53394216 \h </w:instrText>
            </w:r>
            <w:r w:rsidRPr="008810D2">
              <w:rPr>
                <w:rFonts w:ascii="仿宋_GB2312" w:eastAsia="仿宋_GB2312" w:hint="eastAsia"/>
                <w:noProof/>
                <w:webHidden/>
                <w:sz w:val="32"/>
                <w:szCs w:val="32"/>
              </w:rPr>
            </w:r>
            <w:r w:rsidRPr="008810D2">
              <w:rPr>
                <w:rFonts w:ascii="仿宋_GB2312" w:eastAsia="仿宋_GB2312" w:hint="eastAsia"/>
                <w:noProof/>
                <w:webHidden/>
                <w:sz w:val="32"/>
                <w:szCs w:val="32"/>
              </w:rPr>
              <w:fldChar w:fldCharType="separate"/>
            </w:r>
            <w:r w:rsidRPr="008810D2">
              <w:rPr>
                <w:rFonts w:ascii="仿宋_GB2312" w:eastAsia="仿宋_GB2312" w:hint="eastAsia"/>
                <w:noProof/>
                <w:webHidden/>
                <w:sz w:val="32"/>
                <w:szCs w:val="32"/>
              </w:rPr>
              <w:t>1</w:t>
            </w:r>
            <w:r w:rsidRPr="008810D2">
              <w:rPr>
                <w:rFonts w:ascii="仿宋_GB2312" w:eastAsia="仿宋_GB2312" w:hint="eastAsia"/>
                <w:noProof/>
                <w:webHidden/>
                <w:sz w:val="32"/>
                <w:szCs w:val="32"/>
              </w:rPr>
              <w:fldChar w:fldCharType="end"/>
            </w:r>
          </w:hyperlink>
        </w:p>
        <w:p w:rsidR="008810D2" w:rsidRPr="008810D2" w:rsidRDefault="008810D2">
          <w:pPr>
            <w:pStyle w:val="1"/>
            <w:tabs>
              <w:tab w:val="right" w:leader="dot" w:pos="8302"/>
            </w:tabs>
            <w:rPr>
              <w:rFonts w:ascii="仿宋_GB2312" w:eastAsia="仿宋_GB2312" w:hint="eastAsia"/>
              <w:noProof/>
              <w:sz w:val="32"/>
              <w:szCs w:val="32"/>
            </w:rPr>
          </w:pPr>
          <w:hyperlink w:anchor="_Toc53394217" w:history="1">
            <w:r w:rsidRPr="008810D2">
              <w:rPr>
                <w:rStyle w:val="a9"/>
                <w:rFonts w:ascii="仿宋_GB2312" w:eastAsia="仿宋_GB2312" w:hAnsi="黑体" w:cs="Times" w:hint="eastAsia"/>
                <w:noProof/>
                <w:kern w:val="0"/>
                <w:sz w:val="32"/>
                <w:szCs w:val="32"/>
                <w:lang w:val="zh-CN"/>
              </w:rPr>
              <w:t>四、临床评价基本逻辑</w:t>
            </w:r>
            <w:r w:rsidRPr="008810D2">
              <w:rPr>
                <w:rFonts w:ascii="仿宋_GB2312" w:eastAsia="仿宋_GB2312" w:hint="eastAsia"/>
                <w:noProof/>
                <w:webHidden/>
                <w:sz w:val="32"/>
                <w:szCs w:val="32"/>
              </w:rPr>
              <w:tab/>
            </w:r>
            <w:r w:rsidRPr="008810D2">
              <w:rPr>
                <w:rFonts w:ascii="仿宋_GB2312" w:eastAsia="仿宋_GB2312" w:hint="eastAsia"/>
                <w:noProof/>
                <w:webHidden/>
                <w:sz w:val="32"/>
                <w:szCs w:val="32"/>
              </w:rPr>
              <w:fldChar w:fldCharType="begin"/>
            </w:r>
            <w:r w:rsidRPr="008810D2">
              <w:rPr>
                <w:rFonts w:ascii="仿宋_GB2312" w:eastAsia="仿宋_GB2312" w:hint="eastAsia"/>
                <w:noProof/>
                <w:webHidden/>
                <w:sz w:val="32"/>
                <w:szCs w:val="32"/>
              </w:rPr>
              <w:instrText xml:space="preserve"> PAGEREF _Toc53394217 \h </w:instrText>
            </w:r>
            <w:r w:rsidRPr="008810D2">
              <w:rPr>
                <w:rFonts w:ascii="仿宋_GB2312" w:eastAsia="仿宋_GB2312" w:hint="eastAsia"/>
                <w:noProof/>
                <w:webHidden/>
                <w:sz w:val="32"/>
                <w:szCs w:val="32"/>
              </w:rPr>
            </w:r>
            <w:r w:rsidRPr="008810D2">
              <w:rPr>
                <w:rFonts w:ascii="仿宋_GB2312" w:eastAsia="仿宋_GB2312" w:hint="eastAsia"/>
                <w:noProof/>
                <w:webHidden/>
                <w:sz w:val="32"/>
                <w:szCs w:val="32"/>
              </w:rPr>
              <w:fldChar w:fldCharType="separate"/>
            </w:r>
            <w:r w:rsidRPr="008810D2">
              <w:rPr>
                <w:rFonts w:ascii="仿宋_GB2312" w:eastAsia="仿宋_GB2312" w:hint="eastAsia"/>
                <w:noProof/>
                <w:webHidden/>
                <w:sz w:val="32"/>
                <w:szCs w:val="32"/>
              </w:rPr>
              <w:t>1</w:t>
            </w:r>
            <w:r w:rsidRPr="008810D2">
              <w:rPr>
                <w:rFonts w:ascii="仿宋_GB2312" w:eastAsia="仿宋_GB2312" w:hint="eastAsia"/>
                <w:noProof/>
                <w:webHidden/>
                <w:sz w:val="32"/>
                <w:szCs w:val="32"/>
              </w:rPr>
              <w:fldChar w:fldCharType="end"/>
            </w:r>
          </w:hyperlink>
        </w:p>
        <w:p w:rsidR="008810D2" w:rsidRPr="008810D2" w:rsidRDefault="008810D2">
          <w:pPr>
            <w:pStyle w:val="2"/>
            <w:tabs>
              <w:tab w:val="right" w:leader="dot" w:pos="8302"/>
            </w:tabs>
            <w:rPr>
              <w:rFonts w:ascii="仿宋_GB2312" w:eastAsia="仿宋_GB2312" w:hint="eastAsia"/>
              <w:noProof/>
              <w:sz w:val="32"/>
              <w:szCs w:val="32"/>
            </w:rPr>
          </w:pPr>
          <w:hyperlink w:anchor="_Toc53394218" w:history="1">
            <w:r w:rsidRPr="008810D2">
              <w:rPr>
                <w:rStyle w:val="a9"/>
                <w:rFonts w:ascii="仿宋_GB2312" w:eastAsia="仿宋_GB2312" w:hAnsi="仿宋" w:cs="Arial Unicode MS" w:hint="eastAsia"/>
                <w:noProof/>
                <w:kern w:val="0"/>
                <w:sz w:val="32"/>
                <w:szCs w:val="32"/>
              </w:rPr>
              <w:t>（一）临床需求评估</w:t>
            </w:r>
            <w:r w:rsidRPr="008810D2">
              <w:rPr>
                <w:rFonts w:ascii="仿宋_GB2312" w:eastAsia="仿宋_GB2312" w:hint="eastAsia"/>
                <w:noProof/>
                <w:webHidden/>
                <w:sz w:val="32"/>
                <w:szCs w:val="32"/>
              </w:rPr>
              <w:tab/>
            </w:r>
            <w:r w:rsidRPr="008810D2">
              <w:rPr>
                <w:rFonts w:ascii="仿宋_GB2312" w:eastAsia="仿宋_GB2312" w:hint="eastAsia"/>
                <w:noProof/>
                <w:webHidden/>
                <w:sz w:val="32"/>
                <w:szCs w:val="32"/>
              </w:rPr>
              <w:fldChar w:fldCharType="begin"/>
            </w:r>
            <w:r w:rsidRPr="008810D2">
              <w:rPr>
                <w:rFonts w:ascii="仿宋_GB2312" w:eastAsia="仿宋_GB2312" w:hint="eastAsia"/>
                <w:noProof/>
                <w:webHidden/>
                <w:sz w:val="32"/>
                <w:szCs w:val="32"/>
              </w:rPr>
              <w:instrText xml:space="preserve"> PAGEREF _Toc53394218 \h </w:instrText>
            </w:r>
            <w:r w:rsidRPr="008810D2">
              <w:rPr>
                <w:rFonts w:ascii="仿宋_GB2312" w:eastAsia="仿宋_GB2312" w:hint="eastAsia"/>
                <w:noProof/>
                <w:webHidden/>
                <w:sz w:val="32"/>
                <w:szCs w:val="32"/>
              </w:rPr>
            </w:r>
            <w:r w:rsidRPr="008810D2">
              <w:rPr>
                <w:rFonts w:ascii="仿宋_GB2312" w:eastAsia="仿宋_GB2312" w:hint="eastAsia"/>
                <w:noProof/>
                <w:webHidden/>
                <w:sz w:val="32"/>
                <w:szCs w:val="32"/>
              </w:rPr>
              <w:fldChar w:fldCharType="separate"/>
            </w:r>
            <w:r w:rsidRPr="008810D2">
              <w:rPr>
                <w:rFonts w:ascii="仿宋_GB2312" w:eastAsia="仿宋_GB2312" w:hint="eastAsia"/>
                <w:noProof/>
                <w:webHidden/>
                <w:sz w:val="32"/>
                <w:szCs w:val="32"/>
              </w:rPr>
              <w:t>1</w:t>
            </w:r>
            <w:r w:rsidRPr="008810D2">
              <w:rPr>
                <w:rFonts w:ascii="仿宋_GB2312" w:eastAsia="仿宋_GB2312" w:hint="eastAsia"/>
                <w:noProof/>
                <w:webHidden/>
                <w:sz w:val="32"/>
                <w:szCs w:val="32"/>
              </w:rPr>
              <w:fldChar w:fldCharType="end"/>
            </w:r>
          </w:hyperlink>
        </w:p>
        <w:p w:rsidR="008810D2" w:rsidRPr="008810D2" w:rsidRDefault="008810D2">
          <w:pPr>
            <w:pStyle w:val="2"/>
            <w:tabs>
              <w:tab w:val="right" w:leader="dot" w:pos="8302"/>
            </w:tabs>
            <w:rPr>
              <w:rFonts w:ascii="仿宋_GB2312" w:eastAsia="仿宋_GB2312" w:hint="eastAsia"/>
              <w:noProof/>
              <w:sz w:val="32"/>
              <w:szCs w:val="32"/>
            </w:rPr>
          </w:pPr>
          <w:hyperlink w:anchor="_Toc53394219" w:history="1">
            <w:r w:rsidRPr="008810D2">
              <w:rPr>
                <w:rStyle w:val="a9"/>
                <w:rFonts w:ascii="仿宋_GB2312" w:eastAsia="仿宋_GB2312" w:hAnsi="仿宋" w:cs="Arial Unicode MS" w:hint="eastAsia"/>
                <w:noProof/>
                <w:kern w:val="0"/>
                <w:sz w:val="32"/>
                <w:szCs w:val="32"/>
              </w:rPr>
              <w:t>（二）有效性和安全性评价</w:t>
            </w:r>
            <w:r w:rsidRPr="008810D2">
              <w:rPr>
                <w:rFonts w:ascii="仿宋_GB2312" w:eastAsia="仿宋_GB2312" w:hint="eastAsia"/>
                <w:noProof/>
                <w:webHidden/>
                <w:sz w:val="32"/>
                <w:szCs w:val="32"/>
              </w:rPr>
              <w:tab/>
            </w:r>
            <w:r w:rsidRPr="008810D2">
              <w:rPr>
                <w:rFonts w:ascii="仿宋_GB2312" w:eastAsia="仿宋_GB2312" w:hint="eastAsia"/>
                <w:noProof/>
                <w:webHidden/>
                <w:sz w:val="32"/>
                <w:szCs w:val="32"/>
              </w:rPr>
              <w:fldChar w:fldCharType="begin"/>
            </w:r>
            <w:r w:rsidRPr="008810D2">
              <w:rPr>
                <w:rFonts w:ascii="仿宋_GB2312" w:eastAsia="仿宋_GB2312" w:hint="eastAsia"/>
                <w:noProof/>
                <w:webHidden/>
                <w:sz w:val="32"/>
                <w:szCs w:val="32"/>
              </w:rPr>
              <w:instrText xml:space="preserve"> PAGEREF _Toc53394219 \h </w:instrText>
            </w:r>
            <w:r w:rsidRPr="008810D2">
              <w:rPr>
                <w:rFonts w:ascii="仿宋_GB2312" w:eastAsia="仿宋_GB2312" w:hint="eastAsia"/>
                <w:noProof/>
                <w:webHidden/>
                <w:sz w:val="32"/>
                <w:szCs w:val="32"/>
              </w:rPr>
            </w:r>
            <w:r w:rsidRPr="008810D2">
              <w:rPr>
                <w:rFonts w:ascii="仿宋_GB2312" w:eastAsia="仿宋_GB2312" w:hint="eastAsia"/>
                <w:noProof/>
                <w:webHidden/>
                <w:sz w:val="32"/>
                <w:szCs w:val="32"/>
              </w:rPr>
              <w:fldChar w:fldCharType="separate"/>
            </w:r>
            <w:r w:rsidRPr="008810D2">
              <w:rPr>
                <w:rFonts w:ascii="仿宋_GB2312" w:eastAsia="仿宋_GB2312" w:hint="eastAsia"/>
                <w:noProof/>
                <w:webHidden/>
                <w:sz w:val="32"/>
                <w:szCs w:val="32"/>
              </w:rPr>
              <w:t>2</w:t>
            </w:r>
            <w:r w:rsidRPr="008810D2">
              <w:rPr>
                <w:rFonts w:ascii="仿宋_GB2312" w:eastAsia="仿宋_GB2312" w:hint="eastAsia"/>
                <w:noProof/>
                <w:webHidden/>
                <w:sz w:val="32"/>
                <w:szCs w:val="32"/>
              </w:rPr>
              <w:fldChar w:fldCharType="end"/>
            </w:r>
          </w:hyperlink>
        </w:p>
        <w:p w:rsidR="008810D2" w:rsidRPr="008810D2" w:rsidRDefault="008810D2" w:rsidP="008810D2">
          <w:pPr>
            <w:pStyle w:val="3"/>
            <w:tabs>
              <w:tab w:val="left" w:pos="1316"/>
              <w:tab w:val="right" w:leader="dot" w:pos="8302"/>
            </w:tabs>
            <w:rPr>
              <w:rFonts w:ascii="仿宋_GB2312" w:eastAsia="仿宋_GB2312" w:hint="eastAsia"/>
              <w:noProof/>
              <w:sz w:val="32"/>
              <w:szCs w:val="32"/>
            </w:rPr>
          </w:pPr>
          <w:hyperlink w:anchor="_Toc53394220" w:history="1">
            <w:r w:rsidRPr="008810D2">
              <w:rPr>
                <w:rStyle w:val="a9"/>
                <w:rFonts w:ascii="仿宋_GB2312" w:eastAsia="仿宋_GB2312" w:hAnsi="仿宋" w:cs="Times" w:hint="eastAsia"/>
                <w:noProof/>
                <w:kern w:val="0"/>
                <w:sz w:val="32"/>
                <w:szCs w:val="32"/>
                <w:lang w:val="zh-CN"/>
              </w:rPr>
              <w:t>1.</w:t>
            </w:r>
            <w:r w:rsidRPr="008810D2">
              <w:rPr>
                <w:rStyle w:val="a9"/>
                <w:rFonts w:ascii="仿宋_GB2312" w:eastAsia="仿宋_GB2312" w:hAnsi="仿宋" w:cs="Arial Unicode MS" w:hint="eastAsia"/>
                <w:noProof/>
                <w:kern w:val="0"/>
                <w:sz w:val="32"/>
                <w:szCs w:val="32"/>
                <w:lang w:val="zh-CN"/>
              </w:rPr>
              <w:t>明确临床数据来源</w:t>
            </w:r>
            <w:r w:rsidRPr="008810D2">
              <w:rPr>
                <w:rFonts w:ascii="仿宋_GB2312" w:eastAsia="仿宋_GB2312" w:hint="eastAsia"/>
                <w:noProof/>
                <w:webHidden/>
                <w:sz w:val="32"/>
                <w:szCs w:val="32"/>
              </w:rPr>
              <w:tab/>
            </w:r>
            <w:r w:rsidRPr="008810D2">
              <w:rPr>
                <w:rFonts w:ascii="仿宋_GB2312" w:eastAsia="仿宋_GB2312" w:hint="eastAsia"/>
                <w:noProof/>
                <w:webHidden/>
                <w:sz w:val="32"/>
                <w:szCs w:val="32"/>
              </w:rPr>
              <w:fldChar w:fldCharType="begin"/>
            </w:r>
            <w:r w:rsidRPr="008810D2">
              <w:rPr>
                <w:rFonts w:ascii="仿宋_GB2312" w:eastAsia="仿宋_GB2312" w:hint="eastAsia"/>
                <w:noProof/>
                <w:webHidden/>
                <w:sz w:val="32"/>
                <w:szCs w:val="32"/>
              </w:rPr>
              <w:instrText xml:space="preserve"> PAGEREF _Toc53394220 \h </w:instrText>
            </w:r>
            <w:r w:rsidRPr="008810D2">
              <w:rPr>
                <w:rFonts w:ascii="仿宋_GB2312" w:eastAsia="仿宋_GB2312" w:hint="eastAsia"/>
                <w:noProof/>
                <w:webHidden/>
                <w:sz w:val="32"/>
                <w:szCs w:val="32"/>
              </w:rPr>
            </w:r>
            <w:r w:rsidRPr="008810D2">
              <w:rPr>
                <w:rFonts w:ascii="仿宋_GB2312" w:eastAsia="仿宋_GB2312" w:hint="eastAsia"/>
                <w:noProof/>
                <w:webHidden/>
                <w:sz w:val="32"/>
                <w:szCs w:val="32"/>
              </w:rPr>
              <w:fldChar w:fldCharType="separate"/>
            </w:r>
            <w:r w:rsidRPr="008810D2">
              <w:rPr>
                <w:rFonts w:ascii="仿宋_GB2312" w:eastAsia="仿宋_GB2312" w:hint="eastAsia"/>
                <w:noProof/>
                <w:webHidden/>
                <w:sz w:val="32"/>
                <w:szCs w:val="32"/>
              </w:rPr>
              <w:t>2</w:t>
            </w:r>
            <w:r w:rsidRPr="008810D2">
              <w:rPr>
                <w:rFonts w:ascii="仿宋_GB2312" w:eastAsia="仿宋_GB2312" w:hint="eastAsia"/>
                <w:noProof/>
                <w:webHidden/>
                <w:sz w:val="32"/>
                <w:szCs w:val="32"/>
              </w:rPr>
              <w:fldChar w:fldCharType="end"/>
            </w:r>
          </w:hyperlink>
        </w:p>
        <w:p w:rsidR="008810D2" w:rsidRPr="008810D2" w:rsidRDefault="008810D2">
          <w:pPr>
            <w:pStyle w:val="3"/>
            <w:tabs>
              <w:tab w:val="right" w:leader="dot" w:pos="8302"/>
            </w:tabs>
            <w:rPr>
              <w:rFonts w:ascii="仿宋_GB2312" w:eastAsia="仿宋_GB2312" w:hint="eastAsia"/>
              <w:noProof/>
              <w:sz w:val="32"/>
              <w:szCs w:val="32"/>
            </w:rPr>
          </w:pPr>
          <w:hyperlink w:anchor="_Toc53394221" w:history="1">
            <w:r w:rsidRPr="008810D2">
              <w:rPr>
                <w:rStyle w:val="a9"/>
                <w:rFonts w:ascii="仿宋_GB2312" w:eastAsia="仿宋_GB2312" w:hAnsi="仿宋" w:cs="Arial Unicode MS" w:hint="eastAsia"/>
                <w:noProof/>
                <w:kern w:val="0"/>
                <w:sz w:val="32"/>
                <w:szCs w:val="32"/>
                <w:lang w:val="zh-CN"/>
              </w:rPr>
              <w:t>2.评估境外</w:t>
            </w:r>
            <w:bookmarkStart w:id="0" w:name="_GoBack"/>
            <w:bookmarkEnd w:id="0"/>
            <w:r w:rsidRPr="008810D2">
              <w:rPr>
                <w:rStyle w:val="a9"/>
                <w:rFonts w:ascii="仿宋_GB2312" w:eastAsia="仿宋_GB2312" w:hAnsi="仿宋" w:cs="Arial Unicode MS" w:hint="eastAsia"/>
                <w:noProof/>
                <w:kern w:val="0"/>
                <w:sz w:val="32"/>
                <w:szCs w:val="32"/>
                <w:lang w:val="zh-CN"/>
              </w:rPr>
              <w:t>临床试验数据质量</w:t>
            </w:r>
            <w:r w:rsidRPr="008810D2">
              <w:rPr>
                <w:rFonts w:ascii="仿宋_GB2312" w:eastAsia="仿宋_GB2312" w:hint="eastAsia"/>
                <w:noProof/>
                <w:webHidden/>
                <w:sz w:val="32"/>
                <w:szCs w:val="32"/>
              </w:rPr>
              <w:tab/>
            </w:r>
            <w:r w:rsidRPr="008810D2">
              <w:rPr>
                <w:rFonts w:ascii="仿宋_GB2312" w:eastAsia="仿宋_GB2312" w:hint="eastAsia"/>
                <w:noProof/>
                <w:webHidden/>
                <w:sz w:val="32"/>
                <w:szCs w:val="32"/>
              </w:rPr>
              <w:fldChar w:fldCharType="begin"/>
            </w:r>
            <w:r w:rsidRPr="008810D2">
              <w:rPr>
                <w:rFonts w:ascii="仿宋_GB2312" w:eastAsia="仿宋_GB2312" w:hint="eastAsia"/>
                <w:noProof/>
                <w:webHidden/>
                <w:sz w:val="32"/>
                <w:szCs w:val="32"/>
              </w:rPr>
              <w:instrText xml:space="preserve"> PAGEREF _Toc53394221 \h </w:instrText>
            </w:r>
            <w:r w:rsidRPr="008810D2">
              <w:rPr>
                <w:rFonts w:ascii="仿宋_GB2312" w:eastAsia="仿宋_GB2312" w:hint="eastAsia"/>
                <w:noProof/>
                <w:webHidden/>
                <w:sz w:val="32"/>
                <w:szCs w:val="32"/>
              </w:rPr>
            </w:r>
            <w:r w:rsidRPr="008810D2">
              <w:rPr>
                <w:rFonts w:ascii="仿宋_GB2312" w:eastAsia="仿宋_GB2312" w:hint="eastAsia"/>
                <w:noProof/>
                <w:webHidden/>
                <w:sz w:val="32"/>
                <w:szCs w:val="32"/>
              </w:rPr>
              <w:fldChar w:fldCharType="separate"/>
            </w:r>
            <w:r w:rsidRPr="008810D2">
              <w:rPr>
                <w:rFonts w:ascii="仿宋_GB2312" w:eastAsia="仿宋_GB2312" w:hint="eastAsia"/>
                <w:noProof/>
                <w:webHidden/>
                <w:sz w:val="32"/>
                <w:szCs w:val="32"/>
              </w:rPr>
              <w:t>2</w:t>
            </w:r>
            <w:r w:rsidRPr="008810D2">
              <w:rPr>
                <w:rFonts w:ascii="仿宋_GB2312" w:eastAsia="仿宋_GB2312" w:hint="eastAsia"/>
                <w:noProof/>
                <w:webHidden/>
                <w:sz w:val="32"/>
                <w:szCs w:val="32"/>
              </w:rPr>
              <w:fldChar w:fldCharType="end"/>
            </w:r>
          </w:hyperlink>
        </w:p>
        <w:p w:rsidR="008810D2" w:rsidRPr="008810D2" w:rsidRDefault="008810D2">
          <w:pPr>
            <w:pStyle w:val="3"/>
            <w:tabs>
              <w:tab w:val="right" w:leader="dot" w:pos="8302"/>
            </w:tabs>
            <w:rPr>
              <w:rFonts w:ascii="仿宋_GB2312" w:eastAsia="仿宋_GB2312" w:hint="eastAsia"/>
              <w:noProof/>
              <w:sz w:val="32"/>
              <w:szCs w:val="32"/>
            </w:rPr>
          </w:pPr>
          <w:hyperlink w:anchor="_Toc53394222" w:history="1">
            <w:r w:rsidRPr="008810D2">
              <w:rPr>
                <w:rStyle w:val="a9"/>
                <w:rFonts w:ascii="仿宋_GB2312" w:eastAsia="仿宋_GB2312" w:hAnsi="仿宋" w:cs="Times" w:hint="eastAsia"/>
                <w:noProof/>
                <w:kern w:val="0"/>
                <w:sz w:val="32"/>
                <w:szCs w:val="32"/>
              </w:rPr>
              <w:t>3.了解生物药剂学与临床药理学特征</w:t>
            </w:r>
            <w:r w:rsidRPr="008810D2">
              <w:rPr>
                <w:rFonts w:ascii="仿宋_GB2312" w:eastAsia="仿宋_GB2312" w:hint="eastAsia"/>
                <w:noProof/>
                <w:webHidden/>
                <w:sz w:val="32"/>
                <w:szCs w:val="32"/>
              </w:rPr>
              <w:tab/>
            </w:r>
            <w:r w:rsidRPr="008810D2">
              <w:rPr>
                <w:rFonts w:ascii="仿宋_GB2312" w:eastAsia="仿宋_GB2312" w:hint="eastAsia"/>
                <w:noProof/>
                <w:webHidden/>
                <w:sz w:val="32"/>
                <w:szCs w:val="32"/>
              </w:rPr>
              <w:fldChar w:fldCharType="begin"/>
            </w:r>
            <w:r w:rsidRPr="008810D2">
              <w:rPr>
                <w:rFonts w:ascii="仿宋_GB2312" w:eastAsia="仿宋_GB2312" w:hint="eastAsia"/>
                <w:noProof/>
                <w:webHidden/>
                <w:sz w:val="32"/>
                <w:szCs w:val="32"/>
              </w:rPr>
              <w:instrText xml:space="preserve"> PAGEREF _Toc53394222 \h </w:instrText>
            </w:r>
            <w:r w:rsidRPr="008810D2">
              <w:rPr>
                <w:rFonts w:ascii="仿宋_GB2312" w:eastAsia="仿宋_GB2312" w:hint="eastAsia"/>
                <w:noProof/>
                <w:webHidden/>
                <w:sz w:val="32"/>
                <w:szCs w:val="32"/>
              </w:rPr>
            </w:r>
            <w:r w:rsidRPr="008810D2">
              <w:rPr>
                <w:rFonts w:ascii="仿宋_GB2312" w:eastAsia="仿宋_GB2312" w:hint="eastAsia"/>
                <w:noProof/>
                <w:webHidden/>
                <w:sz w:val="32"/>
                <w:szCs w:val="32"/>
              </w:rPr>
              <w:fldChar w:fldCharType="separate"/>
            </w:r>
            <w:r w:rsidRPr="008810D2">
              <w:rPr>
                <w:rFonts w:ascii="仿宋_GB2312" w:eastAsia="仿宋_GB2312" w:hint="eastAsia"/>
                <w:noProof/>
                <w:webHidden/>
                <w:sz w:val="32"/>
                <w:szCs w:val="32"/>
              </w:rPr>
              <w:t>3</w:t>
            </w:r>
            <w:r w:rsidRPr="008810D2">
              <w:rPr>
                <w:rFonts w:ascii="仿宋_GB2312" w:eastAsia="仿宋_GB2312" w:hint="eastAsia"/>
                <w:noProof/>
                <w:webHidden/>
                <w:sz w:val="32"/>
                <w:szCs w:val="32"/>
              </w:rPr>
              <w:fldChar w:fldCharType="end"/>
            </w:r>
          </w:hyperlink>
        </w:p>
        <w:p w:rsidR="008810D2" w:rsidRPr="008810D2" w:rsidRDefault="008810D2">
          <w:pPr>
            <w:pStyle w:val="3"/>
            <w:tabs>
              <w:tab w:val="right" w:leader="dot" w:pos="8302"/>
            </w:tabs>
            <w:rPr>
              <w:rFonts w:ascii="仿宋_GB2312" w:eastAsia="仿宋_GB2312" w:hint="eastAsia"/>
              <w:noProof/>
              <w:sz w:val="32"/>
              <w:szCs w:val="32"/>
            </w:rPr>
          </w:pPr>
          <w:hyperlink w:anchor="_Toc53394223" w:history="1">
            <w:r w:rsidRPr="008810D2">
              <w:rPr>
                <w:rStyle w:val="a9"/>
                <w:rFonts w:ascii="仿宋_GB2312" w:eastAsia="仿宋_GB2312" w:hAnsi="仿宋" w:cs="Times" w:hint="eastAsia"/>
                <w:noProof/>
                <w:kern w:val="0"/>
                <w:sz w:val="32"/>
                <w:szCs w:val="32"/>
              </w:rPr>
              <w:t>4.评估总体有效性和安全性</w:t>
            </w:r>
            <w:r w:rsidRPr="008810D2">
              <w:rPr>
                <w:rFonts w:ascii="仿宋_GB2312" w:eastAsia="仿宋_GB2312" w:hint="eastAsia"/>
                <w:noProof/>
                <w:webHidden/>
                <w:sz w:val="32"/>
                <w:szCs w:val="32"/>
              </w:rPr>
              <w:tab/>
            </w:r>
            <w:r w:rsidRPr="008810D2">
              <w:rPr>
                <w:rFonts w:ascii="仿宋_GB2312" w:eastAsia="仿宋_GB2312" w:hint="eastAsia"/>
                <w:noProof/>
                <w:webHidden/>
                <w:sz w:val="32"/>
                <w:szCs w:val="32"/>
              </w:rPr>
              <w:fldChar w:fldCharType="begin"/>
            </w:r>
            <w:r w:rsidRPr="008810D2">
              <w:rPr>
                <w:rFonts w:ascii="仿宋_GB2312" w:eastAsia="仿宋_GB2312" w:hint="eastAsia"/>
                <w:noProof/>
                <w:webHidden/>
                <w:sz w:val="32"/>
                <w:szCs w:val="32"/>
              </w:rPr>
              <w:instrText xml:space="preserve"> PAGEREF _Toc53394223 \h </w:instrText>
            </w:r>
            <w:r w:rsidRPr="008810D2">
              <w:rPr>
                <w:rFonts w:ascii="仿宋_GB2312" w:eastAsia="仿宋_GB2312" w:hint="eastAsia"/>
                <w:noProof/>
                <w:webHidden/>
                <w:sz w:val="32"/>
                <w:szCs w:val="32"/>
              </w:rPr>
            </w:r>
            <w:r w:rsidRPr="008810D2">
              <w:rPr>
                <w:rFonts w:ascii="仿宋_GB2312" w:eastAsia="仿宋_GB2312" w:hint="eastAsia"/>
                <w:noProof/>
                <w:webHidden/>
                <w:sz w:val="32"/>
                <w:szCs w:val="32"/>
              </w:rPr>
              <w:fldChar w:fldCharType="separate"/>
            </w:r>
            <w:r w:rsidRPr="008810D2">
              <w:rPr>
                <w:rFonts w:ascii="仿宋_GB2312" w:eastAsia="仿宋_GB2312" w:hint="eastAsia"/>
                <w:noProof/>
                <w:webHidden/>
                <w:sz w:val="32"/>
                <w:szCs w:val="32"/>
              </w:rPr>
              <w:t>3</w:t>
            </w:r>
            <w:r w:rsidRPr="008810D2">
              <w:rPr>
                <w:rFonts w:ascii="仿宋_GB2312" w:eastAsia="仿宋_GB2312" w:hint="eastAsia"/>
                <w:noProof/>
                <w:webHidden/>
                <w:sz w:val="32"/>
                <w:szCs w:val="32"/>
              </w:rPr>
              <w:fldChar w:fldCharType="end"/>
            </w:r>
          </w:hyperlink>
        </w:p>
        <w:p w:rsidR="008810D2" w:rsidRPr="008810D2" w:rsidRDefault="008810D2">
          <w:pPr>
            <w:pStyle w:val="2"/>
            <w:tabs>
              <w:tab w:val="right" w:leader="dot" w:pos="8302"/>
            </w:tabs>
            <w:rPr>
              <w:rFonts w:ascii="仿宋_GB2312" w:eastAsia="仿宋_GB2312" w:hint="eastAsia"/>
              <w:noProof/>
              <w:sz w:val="32"/>
              <w:szCs w:val="32"/>
            </w:rPr>
          </w:pPr>
          <w:hyperlink w:anchor="_Toc53394224" w:history="1">
            <w:r w:rsidRPr="008810D2">
              <w:rPr>
                <w:rStyle w:val="a9"/>
                <w:rFonts w:ascii="仿宋_GB2312" w:eastAsia="仿宋_GB2312" w:hAnsi="仿宋" w:cs="Arial Unicode MS" w:hint="eastAsia"/>
                <w:noProof/>
                <w:kern w:val="0"/>
                <w:sz w:val="32"/>
                <w:szCs w:val="32"/>
              </w:rPr>
              <w:t>（三）种族敏感性分析</w:t>
            </w:r>
            <w:r w:rsidRPr="008810D2">
              <w:rPr>
                <w:rFonts w:ascii="仿宋_GB2312" w:eastAsia="仿宋_GB2312" w:hint="eastAsia"/>
                <w:noProof/>
                <w:webHidden/>
                <w:sz w:val="32"/>
                <w:szCs w:val="32"/>
              </w:rPr>
              <w:tab/>
            </w:r>
            <w:r w:rsidRPr="008810D2">
              <w:rPr>
                <w:rFonts w:ascii="仿宋_GB2312" w:eastAsia="仿宋_GB2312" w:hint="eastAsia"/>
                <w:noProof/>
                <w:webHidden/>
                <w:sz w:val="32"/>
                <w:szCs w:val="32"/>
              </w:rPr>
              <w:fldChar w:fldCharType="begin"/>
            </w:r>
            <w:r w:rsidRPr="008810D2">
              <w:rPr>
                <w:rFonts w:ascii="仿宋_GB2312" w:eastAsia="仿宋_GB2312" w:hint="eastAsia"/>
                <w:noProof/>
                <w:webHidden/>
                <w:sz w:val="32"/>
                <w:szCs w:val="32"/>
              </w:rPr>
              <w:instrText xml:space="preserve"> PAGEREF _Toc53394224 \h </w:instrText>
            </w:r>
            <w:r w:rsidRPr="008810D2">
              <w:rPr>
                <w:rFonts w:ascii="仿宋_GB2312" w:eastAsia="仿宋_GB2312" w:hint="eastAsia"/>
                <w:noProof/>
                <w:webHidden/>
                <w:sz w:val="32"/>
                <w:szCs w:val="32"/>
              </w:rPr>
            </w:r>
            <w:r w:rsidRPr="008810D2">
              <w:rPr>
                <w:rFonts w:ascii="仿宋_GB2312" w:eastAsia="仿宋_GB2312" w:hint="eastAsia"/>
                <w:noProof/>
                <w:webHidden/>
                <w:sz w:val="32"/>
                <w:szCs w:val="32"/>
              </w:rPr>
              <w:fldChar w:fldCharType="separate"/>
            </w:r>
            <w:r w:rsidRPr="008810D2">
              <w:rPr>
                <w:rFonts w:ascii="仿宋_GB2312" w:eastAsia="仿宋_GB2312" w:hint="eastAsia"/>
                <w:noProof/>
                <w:webHidden/>
                <w:sz w:val="32"/>
                <w:szCs w:val="32"/>
              </w:rPr>
              <w:t>3</w:t>
            </w:r>
            <w:r w:rsidRPr="008810D2">
              <w:rPr>
                <w:rFonts w:ascii="仿宋_GB2312" w:eastAsia="仿宋_GB2312" w:hint="eastAsia"/>
                <w:noProof/>
                <w:webHidden/>
                <w:sz w:val="32"/>
                <w:szCs w:val="32"/>
              </w:rPr>
              <w:fldChar w:fldCharType="end"/>
            </w:r>
          </w:hyperlink>
        </w:p>
        <w:p w:rsidR="008810D2" w:rsidRPr="008810D2" w:rsidRDefault="008810D2">
          <w:pPr>
            <w:pStyle w:val="2"/>
            <w:tabs>
              <w:tab w:val="right" w:leader="dot" w:pos="8302"/>
            </w:tabs>
            <w:rPr>
              <w:rFonts w:ascii="仿宋_GB2312" w:eastAsia="仿宋_GB2312" w:hint="eastAsia"/>
              <w:noProof/>
              <w:sz w:val="32"/>
              <w:szCs w:val="32"/>
            </w:rPr>
          </w:pPr>
          <w:hyperlink w:anchor="_Toc53394225" w:history="1">
            <w:r w:rsidRPr="008810D2">
              <w:rPr>
                <w:rStyle w:val="a9"/>
                <w:rFonts w:ascii="仿宋_GB2312" w:eastAsia="仿宋_GB2312" w:hAnsi="仿宋" w:cs="Arial Unicode MS" w:hint="eastAsia"/>
                <w:noProof/>
                <w:kern w:val="0"/>
                <w:sz w:val="32"/>
                <w:szCs w:val="32"/>
              </w:rPr>
              <w:t>（四）基于中国患者获益/风险评估进行决策</w:t>
            </w:r>
            <w:r w:rsidRPr="008810D2">
              <w:rPr>
                <w:rFonts w:ascii="仿宋_GB2312" w:eastAsia="仿宋_GB2312" w:hint="eastAsia"/>
                <w:noProof/>
                <w:webHidden/>
                <w:sz w:val="32"/>
                <w:szCs w:val="32"/>
              </w:rPr>
              <w:tab/>
            </w:r>
            <w:r w:rsidRPr="008810D2">
              <w:rPr>
                <w:rFonts w:ascii="仿宋_GB2312" w:eastAsia="仿宋_GB2312" w:hint="eastAsia"/>
                <w:noProof/>
                <w:webHidden/>
                <w:sz w:val="32"/>
                <w:szCs w:val="32"/>
              </w:rPr>
              <w:fldChar w:fldCharType="begin"/>
            </w:r>
            <w:r w:rsidRPr="008810D2">
              <w:rPr>
                <w:rFonts w:ascii="仿宋_GB2312" w:eastAsia="仿宋_GB2312" w:hint="eastAsia"/>
                <w:noProof/>
                <w:webHidden/>
                <w:sz w:val="32"/>
                <w:szCs w:val="32"/>
              </w:rPr>
              <w:instrText xml:space="preserve"> PAGEREF _Toc53394225 \h </w:instrText>
            </w:r>
            <w:r w:rsidRPr="008810D2">
              <w:rPr>
                <w:rFonts w:ascii="仿宋_GB2312" w:eastAsia="仿宋_GB2312" w:hint="eastAsia"/>
                <w:noProof/>
                <w:webHidden/>
                <w:sz w:val="32"/>
                <w:szCs w:val="32"/>
              </w:rPr>
            </w:r>
            <w:r w:rsidRPr="008810D2">
              <w:rPr>
                <w:rFonts w:ascii="仿宋_GB2312" w:eastAsia="仿宋_GB2312" w:hint="eastAsia"/>
                <w:noProof/>
                <w:webHidden/>
                <w:sz w:val="32"/>
                <w:szCs w:val="32"/>
              </w:rPr>
              <w:fldChar w:fldCharType="separate"/>
            </w:r>
            <w:r w:rsidRPr="008810D2">
              <w:rPr>
                <w:rFonts w:ascii="仿宋_GB2312" w:eastAsia="仿宋_GB2312" w:hint="eastAsia"/>
                <w:noProof/>
                <w:webHidden/>
                <w:sz w:val="32"/>
                <w:szCs w:val="32"/>
              </w:rPr>
              <w:t>4</w:t>
            </w:r>
            <w:r w:rsidRPr="008810D2">
              <w:rPr>
                <w:rFonts w:ascii="仿宋_GB2312" w:eastAsia="仿宋_GB2312" w:hint="eastAsia"/>
                <w:noProof/>
                <w:webHidden/>
                <w:sz w:val="32"/>
                <w:szCs w:val="32"/>
              </w:rPr>
              <w:fldChar w:fldCharType="end"/>
            </w:r>
          </w:hyperlink>
        </w:p>
        <w:p w:rsidR="008810D2" w:rsidRPr="008810D2" w:rsidRDefault="008810D2">
          <w:pPr>
            <w:pStyle w:val="1"/>
            <w:tabs>
              <w:tab w:val="right" w:leader="dot" w:pos="8302"/>
            </w:tabs>
            <w:rPr>
              <w:rFonts w:ascii="仿宋_GB2312" w:eastAsia="仿宋_GB2312" w:hint="eastAsia"/>
              <w:noProof/>
              <w:sz w:val="32"/>
              <w:szCs w:val="32"/>
            </w:rPr>
          </w:pPr>
          <w:hyperlink w:anchor="_Toc53394226" w:history="1">
            <w:r w:rsidRPr="008810D2">
              <w:rPr>
                <w:rStyle w:val="a9"/>
                <w:rFonts w:ascii="仿宋_GB2312" w:eastAsia="仿宋_GB2312" w:hAnsi="黑体" w:cs="Times" w:hint="eastAsia"/>
                <w:noProof/>
                <w:kern w:val="0"/>
                <w:sz w:val="32"/>
                <w:szCs w:val="32"/>
              </w:rPr>
              <w:t>五、临床试验要求</w:t>
            </w:r>
            <w:r w:rsidRPr="008810D2">
              <w:rPr>
                <w:rFonts w:ascii="仿宋_GB2312" w:eastAsia="仿宋_GB2312" w:hint="eastAsia"/>
                <w:noProof/>
                <w:webHidden/>
                <w:sz w:val="32"/>
                <w:szCs w:val="32"/>
              </w:rPr>
              <w:tab/>
            </w:r>
            <w:r w:rsidRPr="008810D2">
              <w:rPr>
                <w:rFonts w:ascii="仿宋_GB2312" w:eastAsia="仿宋_GB2312" w:hint="eastAsia"/>
                <w:noProof/>
                <w:webHidden/>
                <w:sz w:val="32"/>
                <w:szCs w:val="32"/>
              </w:rPr>
              <w:fldChar w:fldCharType="begin"/>
            </w:r>
            <w:r w:rsidRPr="008810D2">
              <w:rPr>
                <w:rFonts w:ascii="仿宋_GB2312" w:eastAsia="仿宋_GB2312" w:hint="eastAsia"/>
                <w:noProof/>
                <w:webHidden/>
                <w:sz w:val="32"/>
                <w:szCs w:val="32"/>
              </w:rPr>
              <w:instrText xml:space="preserve"> PAGEREF _Toc53394226 \h </w:instrText>
            </w:r>
            <w:r w:rsidRPr="008810D2">
              <w:rPr>
                <w:rFonts w:ascii="仿宋_GB2312" w:eastAsia="仿宋_GB2312" w:hint="eastAsia"/>
                <w:noProof/>
                <w:webHidden/>
                <w:sz w:val="32"/>
                <w:szCs w:val="32"/>
              </w:rPr>
            </w:r>
            <w:r w:rsidRPr="008810D2">
              <w:rPr>
                <w:rFonts w:ascii="仿宋_GB2312" w:eastAsia="仿宋_GB2312" w:hint="eastAsia"/>
                <w:noProof/>
                <w:webHidden/>
                <w:sz w:val="32"/>
                <w:szCs w:val="32"/>
              </w:rPr>
              <w:fldChar w:fldCharType="separate"/>
            </w:r>
            <w:r w:rsidRPr="008810D2">
              <w:rPr>
                <w:rFonts w:ascii="仿宋_GB2312" w:eastAsia="仿宋_GB2312" w:hint="eastAsia"/>
                <w:noProof/>
                <w:webHidden/>
                <w:sz w:val="32"/>
                <w:szCs w:val="32"/>
              </w:rPr>
              <w:t>4</w:t>
            </w:r>
            <w:r w:rsidRPr="008810D2">
              <w:rPr>
                <w:rFonts w:ascii="仿宋_GB2312" w:eastAsia="仿宋_GB2312" w:hint="eastAsia"/>
                <w:noProof/>
                <w:webHidden/>
                <w:sz w:val="32"/>
                <w:szCs w:val="32"/>
              </w:rPr>
              <w:fldChar w:fldCharType="end"/>
            </w:r>
          </w:hyperlink>
        </w:p>
        <w:p w:rsidR="008810D2" w:rsidRPr="008810D2" w:rsidRDefault="008810D2">
          <w:pPr>
            <w:pStyle w:val="2"/>
            <w:tabs>
              <w:tab w:val="right" w:leader="dot" w:pos="8302"/>
            </w:tabs>
            <w:rPr>
              <w:rFonts w:ascii="仿宋_GB2312" w:eastAsia="仿宋_GB2312" w:hint="eastAsia"/>
              <w:noProof/>
              <w:sz w:val="32"/>
              <w:szCs w:val="32"/>
            </w:rPr>
          </w:pPr>
          <w:hyperlink w:anchor="_Toc53394227" w:history="1">
            <w:r w:rsidRPr="008810D2">
              <w:rPr>
                <w:rStyle w:val="a9"/>
                <w:rFonts w:ascii="仿宋_GB2312" w:eastAsia="仿宋_GB2312" w:hAnsi="仿宋" w:cs="Times" w:hint="eastAsia"/>
                <w:noProof/>
                <w:kern w:val="0"/>
                <w:sz w:val="32"/>
                <w:szCs w:val="32"/>
              </w:rPr>
              <w:t>（一）境外原研药品</w:t>
            </w:r>
            <w:r w:rsidRPr="008810D2">
              <w:rPr>
                <w:rFonts w:ascii="仿宋_GB2312" w:eastAsia="仿宋_GB2312" w:hint="eastAsia"/>
                <w:noProof/>
                <w:webHidden/>
                <w:sz w:val="32"/>
                <w:szCs w:val="32"/>
              </w:rPr>
              <w:tab/>
            </w:r>
            <w:r w:rsidRPr="008810D2">
              <w:rPr>
                <w:rFonts w:ascii="仿宋_GB2312" w:eastAsia="仿宋_GB2312" w:hint="eastAsia"/>
                <w:noProof/>
                <w:webHidden/>
                <w:sz w:val="32"/>
                <w:szCs w:val="32"/>
              </w:rPr>
              <w:fldChar w:fldCharType="begin"/>
            </w:r>
            <w:r w:rsidRPr="008810D2">
              <w:rPr>
                <w:rFonts w:ascii="仿宋_GB2312" w:eastAsia="仿宋_GB2312" w:hint="eastAsia"/>
                <w:noProof/>
                <w:webHidden/>
                <w:sz w:val="32"/>
                <w:szCs w:val="32"/>
              </w:rPr>
              <w:instrText xml:space="preserve"> PAGEREF _Toc53394227 \h </w:instrText>
            </w:r>
            <w:r w:rsidRPr="008810D2">
              <w:rPr>
                <w:rFonts w:ascii="仿宋_GB2312" w:eastAsia="仿宋_GB2312" w:hint="eastAsia"/>
                <w:noProof/>
                <w:webHidden/>
                <w:sz w:val="32"/>
                <w:szCs w:val="32"/>
              </w:rPr>
            </w:r>
            <w:r w:rsidRPr="008810D2">
              <w:rPr>
                <w:rFonts w:ascii="仿宋_GB2312" w:eastAsia="仿宋_GB2312" w:hint="eastAsia"/>
                <w:noProof/>
                <w:webHidden/>
                <w:sz w:val="32"/>
                <w:szCs w:val="32"/>
              </w:rPr>
              <w:fldChar w:fldCharType="separate"/>
            </w:r>
            <w:r w:rsidRPr="008810D2">
              <w:rPr>
                <w:rFonts w:ascii="仿宋_GB2312" w:eastAsia="仿宋_GB2312" w:hint="eastAsia"/>
                <w:noProof/>
                <w:webHidden/>
                <w:sz w:val="32"/>
                <w:szCs w:val="32"/>
              </w:rPr>
              <w:t>5</w:t>
            </w:r>
            <w:r w:rsidRPr="008810D2">
              <w:rPr>
                <w:rFonts w:ascii="仿宋_GB2312" w:eastAsia="仿宋_GB2312" w:hint="eastAsia"/>
                <w:noProof/>
                <w:webHidden/>
                <w:sz w:val="32"/>
                <w:szCs w:val="32"/>
              </w:rPr>
              <w:fldChar w:fldCharType="end"/>
            </w:r>
          </w:hyperlink>
        </w:p>
        <w:p w:rsidR="008810D2" w:rsidRPr="008810D2" w:rsidRDefault="008810D2">
          <w:pPr>
            <w:pStyle w:val="3"/>
            <w:tabs>
              <w:tab w:val="right" w:leader="dot" w:pos="8302"/>
            </w:tabs>
            <w:rPr>
              <w:rFonts w:ascii="仿宋_GB2312" w:eastAsia="仿宋_GB2312" w:hint="eastAsia"/>
              <w:noProof/>
              <w:sz w:val="32"/>
              <w:szCs w:val="32"/>
            </w:rPr>
          </w:pPr>
          <w:hyperlink w:anchor="_Toc53394228" w:history="1">
            <w:r w:rsidRPr="008810D2">
              <w:rPr>
                <w:rStyle w:val="a9"/>
                <w:rFonts w:ascii="仿宋_GB2312" w:eastAsia="仿宋_GB2312" w:hAnsi="仿宋" w:cs="Times" w:hint="eastAsia"/>
                <w:noProof/>
                <w:kern w:val="0"/>
                <w:sz w:val="32"/>
                <w:szCs w:val="32"/>
              </w:rPr>
              <w:t>1.安全有效且无种族敏感性</w:t>
            </w:r>
            <w:r w:rsidRPr="008810D2">
              <w:rPr>
                <w:rFonts w:ascii="仿宋_GB2312" w:eastAsia="仿宋_GB2312" w:hint="eastAsia"/>
                <w:noProof/>
                <w:webHidden/>
                <w:sz w:val="32"/>
                <w:szCs w:val="32"/>
              </w:rPr>
              <w:tab/>
            </w:r>
            <w:r w:rsidRPr="008810D2">
              <w:rPr>
                <w:rFonts w:ascii="仿宋_GB2312" w:eastAsia="仿宋_GB2312" w:hint="eastAsia"/>
                <w:noProof/>
                <w:webHidden/>
                <w:sz w:val="32"/>
                <w:szCs w:val="32"/>
              </w:rPr>
              <w:fldChar w:fldCharType="begin"/>
            </w:r>
            <w:r w:rsidRPr="008810D2">
              <w:rPr>
                <w:rFonts w:ascii="仿宋_GB2312" w:eastAsia="仿宋_GB2312" w:hint="eastAsia"/>
                <w:noProof/>
                <w:webHidden/>
                <w:sz w:val="32"/>
                <w:szCs w:val="32"/>
              </w:rPr>
              <w:instrText xml:space="preserve"> PAGEREF _Toc53394228 \h </w:instrText>
            </w:r>
            <w:r w:rsidRPr="008810D2">
              <w:rPr>
                <w:rFonts w:ascii="仿宋_GB2312" w:eastAsia="仿宋_GB2312" w:hint="eastAsia"/>
                <w:noProof/>
                <w:webHidden/>
                <w:sz w:val="32"/>
                <w:szCs w:val="32"/>
              </w:rPr>
            </w:r>
            <w:r w:rsidRPr="008810D2">
              <w:rPr>
                <w:rFonts w:ascii="仿宋_GB2312" w:eastAsia="仿宋_GB2312" w:hint="eastAsia"/>
                <w:noProof/>
                <w:webHidden/>
                <w:sz w:val="32"/>
                <w:szCs w:val="32"/>
              </w:rPr>
              <w:fldChar w:fldCharType="separate"/>
            </w:r>
            <w:r w:rsidRPr="008810D2">
              <w:rPr>
                <w:rFonts w:ascii="仿宋_GB2312" w:eastAsia="仿宋_GB2312" w:hint="eastAsia"/>
                <w:noProof/>
                <w:webHidden/>
                <w:sz w:val="32"/>
                <w:szCs w:val="32"/>
              </w:rPr>
              <w:t>5</w:t>
            </w:r>
            <w:r w:rsidRPr="008810D2">
              <w:rPr>
                <w:rFonts w:ascii="仿宋_GB2312" w:eastAsia="仿宋_GB2312" w:hint="eastAsia"/>
                <w:noProof/>
                <w:webHidden/>
                <w:sz w:val="32"/>
                <w:szCs w:val="32"/>
              </w:rPr>
              <w:fldChar w:fldCharType="end"/>
            </w:r>
          </w:hyperlink>
        </w:p>
        <w:p w:rsidR="008810D2" w:rsidRPr="008810D2" w:rsidRDefault="008810D2">
          <w:pPr>
            <w:pStyle w:val="3"/>
            <w:tabs>
              <w:tab w:val="right" w:leader="dot" w:pos="8302"/>
            </w:tabs>
            <w:rPr>
              <w:rFonts w:ascii="仿宋_GB2312" w:eastAsia="仿宋_GB2312" w:hint="eastAsia"/>
              <w:noProof/>
              <w:sz w:val="32"/>
              <w:szCs w:val="32"/>
            </w:rPr>
          </w:pPr>
          <w:hyperlink w:anchor="_Toc53394229" w:history="1">
            <w:r w:rsidRPr="008810D2">
              <w:rPr>
                <w:rStyle w:val="a9"/>
                <w:rFonts w:ascii="仿宋_GB2312" w:eastAsia="仿宋_GB2312" w:hAnsi="仿宋" w:cs="Times" w:hint="eastAsia"/>
                <w:noProof/>
                <w:kern w:val="0"/>
                <w:sz w:val="32"/>
                <w:szCs w:val="32"/>
              </w:rPr>
              <w:t>2.安全有效但缺乏种族敏感性数据或存在种族敏感性</w:t>
            </w:r>
            <w:r w:rsidRPr="008810D2">
              <w:rPr>
                <w:rFonts w:ascii="仿宋_GB2312" w:eastAsia="仿宋_GB2312" w:hint="eastAsia"/>
                <w:noProof/>
                <w:webHidden/>
                <w:sz w:val="32"/>
                <w:szCs w:val="32"/>
              </w:rPr>
              <w:tab/>
            </w:r>
            <w:r w:rsidRPr="008810D2">
              <w:rPr>
                <w:rFonts w:ascii="仿宋_GB2312" w:eastAsia="仿宋_GB2312" w:hint="eastAsia"/>
                <w:noProof/>
                <w:webHidden/>
                <w:sz w:val="32"/>
                <w:szCs w:val="32"/>
              </w:rPr>
              <w:fldChar w:fldCharType="begin"/>
            </w:r>
            <w:r w:rsidRPr="008810D2">
              <w:rPr>
                <w:rFonts w:ascii="仿宋_GB2312" w:eastAsia="仿宋_GB2312" w:hint="eastAsia"/>
                <w:noProof/>
                <w:webHidden/>
                <w:sz w:val="32"/>
                <w:szCs w:val="32"/>
              </w:rPr>
              <w:instrText xml:space="preserve"> PAGEREF _Toc53394229 \h </w:instrText>
            </w:r>
            <w:r w:rsidRPr="008810D2">
              <w:rPr>
                <w:rFonts w:ascii="仿宋_GB2312" w:eastAsia="仿宋_GB2312" w:hint="eastAsia"/>
                <w:noProof/>
                <w:webHidden/>
                <w:sz w:val="32"/>
                <w:szCs w:val="32"/>
              </w:rPr>
            </w:r>
            <w:r w:rsidRPr="008810D2">
              <w:rPr>
                <w:rFonts w:ascii="仿宋_GB2312" w:eastAsia="仿宋_GB2312" w:hint="eastAsia"/>
                <w:noProof/>
                <w:webHidden/>
                <w:sz w:val="32"/>
                <w:szCs w:val="32"/>
              </w:rPr>
              <w:fldChar w:fldCharType="separate"/>
            </w:r>
            <w:r w:rsidRPr="008810D2">
              <w:rPr>
                <w:rFonts w:ascii="仿宋_GB2312" w:eastAsia="仿宋_GB2312" w:hint="eastAsia"/>
                <w:noProof/>
                <w:webHidden/>
                <w:sz w:val="32"/>
                <w:szCs w:val="32"/>
              </w:rPr>
              <w:t>7</w:t>
            </w:r>
            <w:r w:rsidRPr="008810D2">
              <w:rPr>
                <w:rFonts w:ascii="仿宋_GB2312" w:eastAsia="仿宋_GB2312" w:hint="eastAsia"/>
                <w:noProof/>
                <w:webHidden/>
                <w:sz w:val="32"/>
                <w:szCs w:val="32"/>
              </w:rPr>
              <w:fldChar w:fldCharType="end"/>
            </w:r>
          </w:hyperlink>
        </w:p>
        <w:p w:rsidR="008810D2" w:rsidRPr="008810D2" w:rsidRDefault="008810D2">
          <w:pPr>
            <w:pStyle w:val="3"/>
            <w:tabs>
              <w:tab w:val="right" w:leader="dot" w:pos="8302"/>
            </w:tabs>
            <w:rPr>
              <w:rFonts w:ascii="仿宋_GB2312" w:eastAsia="仿宋_GB2312" w:hint="eastAsia"/>
              <w:noProof/>
              <w:sz w:val="32"/>
              <w:szCs w:val="32"/>
            </w:rPr>
          </w:pPr>
          <w:hyperlink w:anchor="_Toc53394230" w:history="1">
            <w:r w:rsidRPr="008810D2">
              <w:rPr>
                <w:rStyle w:val="a9"/>
                <w:rFonts w:ascii="仿宋_GB2312" w:eastAsia="仿宋_GB2312" w:hAnsi="仿宋" w:cs="Times" w:hint="eastAsia"/>
                <w:noProof/>
                <w:kern w:val="0"/>
                <w:sz w:val="32"/>
                <w:szCs w:val="32"/>
              </w:rPr>
              <w:t>3.安全有效性数据不充分</w:t>
            </w:r>
            <w:r w:rsidRPr="008810D2">
              <w:rPr>
                <w:rFonts w:ascii="仿宋_GB2312" w:eastAsia="仿宋_GB2312" w:hint="eastAsia"/>
                <w:noProof/>
                <w:webHidden/>
                <w:sz w:val="32"/>
                <w:szCs w:val="32"/>
              </w:rPr>
              <w:tab/>
            </w:r>
            <w:r w:rsidRPr="008810D2">
              <w:rPr>
                <w:rFonts w:ascii="仿宋_GB2312" w:eastAsia="仿宋_GB2312" w:hint="eastAsia"/>
                <w:noProof/>
                <w:webHidden/>
                <w:sz w:val="32"/>
                <w:szCs w:val="32"/>
              </w:rPr>
              <w:fldChar w:fldCharType="begin"/>
            </w:r>
            <w:r w:rsidRPr="008810D2">
              <w:rPr>
                <w:rFonts w:ascii="仿宋_GB2312" w:eastAsia="仿宋_GB2312" w:hint="eastAsia"/>
                <w:noProof/>
                <w:webHidden/>
                <w:sz w:val="32"/>
                <w:szCs w:val="32"/>
              </w:rPr>
              <w:instrText xml:space="preserve"> PAGEREF _Toc53394230 \h </w:instrText>
            </w:r>
            <w:r w:rsidRPr="008810D2">
              <w:rPr>
                <w:rFonts w:ascii="仿宋_GB2312" w:eastAsia="仿宋_GB2312" w:hint="eastAsia"/>
                <w:noProof/>
                <w:webHidden/>
                <w:sz w:val="32"/>
                <w:szCs w:val="32"/>
              </w:rPr>
            </w:r>
            <w:r w:rsidRPr="008810D2">
              <w:rPr>
                <w:rFonts w:ascii="仿宋_GB2312" w:eastAsia="仿宋_GB2312" w:hint="eastAsia"/>
                <w:noProof/>
                <w:webHidden/>
                <w:sz w:val="32"/>
                <w:szCs w:val="32"/>
              </w:rPr>
              <w:fldChar w:fldCharType="separate"/>
            </w:r>
            <w:r w:rsidRPr="008810D2">
              <w:rPr>
                <w:rFonts w:ascii="仿宋_GB2312" w:eastAsia="仿宋_GB2312" w:hint="eastAsia"/>
                <w:noProof/>
                <w:webHidden/>
                <w:sz w:val="32"/>
                <w:szCs w:val="32"/>
              </w:rPr>
              <w:t>7</w:t>
            </w:r>
            <w:r w:rsidRPr="008810D2">
              <w:rPr>
                <w:rFonts w:ascii="仿宋_GB2312" w:eastAsia="仿宋_GB2312" w:hint="eastAsia"/>
                <w:noProof/>
                <w:webHidden/>
                <w:sz w:val="32"/>
                <w:szCs w:val="32"/>
              </w:rPr>
              <w:fldChar w:fldCharType="end"/>
            </w:r>
          </w:hyperlink>
        </w:p>
        <w:p w:rsidR="008810D2" w:rsidRPr="008810D2" w:rsidRDefault="008810D2">
          <w:pPr>
            <w:pStyle w:val="3"/>
            <w:tabs>
              <w:tab w:val="right" w:leader="dot" w:pos="8302"/>
            </w:tabs>
            <w:rPr>
              <w:rFonts w:ascii="仿宋_GB2312" w:eastAsia="仿宋_GB2312" w:hint="eastAsia"/>
              <w:noProof/>
              <w:sz w:val="32"/>
              <w:szCs w:val="32"/>
            </w:rPr>
          </w:pPr>
          <w:hyperlink w:anchor="_Toc53394231" w:history="1">
            <w:r w:rsidRPr="008810D2">
              <w:rPr>
                <w:rStyle w:val="a9"/>
                <w:rFonts w:ascii="仿宋_GB2312" w:eastAsia="仿宋_GB2312" w:hAnsi="仿宋" w:cs="Times" w:hint="eastAsia"/>
                <w:noProof/>
                <w:kern w:val="0"/>
                <w:sz w:val="32"/>
                <w:szCs w:val="32"/>
              </w:rPr>
              <w:t>4.临床数据显示无效或存在安全性问题</w:t>
            </w:r>
            <w:r w:rsidRPr="008810D2">
              <w:rPr>
                <w:rFonts w:ascii="仿宋_GB2312" w:eastAsia="仿宋_GB2312" w:hint="eastAsia"/>
                <w:noProof/>
                <w:webHidden/>
                <w:sz w:val="32"/>
                <w:szCs w:val="32"/>
              </w:rPr>
              <w:tab/>
            </w:r>
            <w:r w:rsidRPr="008810D2">
              <w:rPr>
                <w:rFonts w:ascii="仿宋_GB2312" w:eastAsia="仿宋_GB2312" w:hint="eastAsia"/>
                <w:noProof/>
                <w:webHidden/>
                <w:sz w:val="32"/>
                <w:szCs w:val="32"/>
              </w:rPr>
              <w:fldChar w:fldCharType="begin"/>
            </w:r>
            <w:r w:rsidRPr="008810D2">
              <w:rPr>
                <w:rFonts w:ascii="仿宋_GB2312" w:eastAsia="仿宋_GB2312" w:hint="eastAsia"/>
                <w:noProof/>
                <w:webHidden/>
                <w:sz w:val="32"/>
                <w:szCs w:val="32"/>
              </w:rPr>
              <w:instrText xml:space="preserve"> PAGEREF _Toc53394231 \h </w:instrText>
            </w:r>
            <w:r w:rsidRPr="008810D2">
              <w:rPr>
                <w:rFonts w:ascii="仿宋_GB2312" w:eastAsia="仿宋_GB2312" w:hint="eastAsia"/>
                <w:noProof/>
                <w:webHidden/>
                <w:sz w:val="32"/>
                <w:szCs w:val="32"/>
              </w:rPr>
            </w:r>
            <w:r w:rsidRPr="008810D2">
              <w:rPr>
                <w:rFonts w:ascii="仿宋_GB2312" w:eastAsia="仿宋_GB2312" w:hint="eastAsia"/>
                <w:noProof/>
                <w:webHidden/>
                <w:sz w:val="32"/>
                <w:szCs w:val="32"/>
              </w:rPr>
              <w:fldChar w:fldCharType="separate"/>
            </w:r>
            <w:r w:rsidRPr="008810D2">
              <w:rPr>
                <w:rFonts w:ascii="仿宋_GB2312" w:eastAsia="仿宋_GB2312" w:hint="eastAsia"/>
                <w:noProof/>
                <w:webHidden/>
                <w:sz w:val="32"/>
                <w:szCs w:val="32"/>
              </w:rPr>
              <w:t>7</w:t>
            </w:r>
            <w:r w:rsidRPr="008810D2">
              <w:rPr>
                <w:rFonts w:ascii="仿宋_GB2312" w:eastAsia="仿宋_GB2312" w:hint="eastAsia"/>
                <w:noProof/>
                <w:webHidden/>
                <w:sz w:val="32"/>
                <w:szCs w:val="32"/>
              </w:rPr>
              <w:fldChar w:fldCharType="end"/>
            </w:r>
          </w:hyperlink>
        </w:p>
        <w:p w:rsidR="008810D2" w:rsidRPr="008810D2" w:rsidRDefault="008810D2">
          <w:pPr>
            <w:pStyle w:val="2"/>
            <w:tabs>
              <w:tab w:val="right" w:leader="dot" w:pos="8302"/>
            </w:tabs>
            <w:rPr>
              <w:rFonts w:ascii="仿宋_GB2312" w:eastAsia="仿宋_GB2312" w:hint="eastAsia"/>
              <w:noProof/>
              <w:sz w:val="32"/>
              <w:szCs w:val="32"/>
            </w:rPr>
          </w:pPr>
          <w:hyperlink w:anchor="_Toc53394232" w:history="1">
            <w:r w:rsidRPr="008810D2">
              <w:rPr>
                <w:rStyle w:val="a9"/>
                <w:rFonts w:ascii="仿宋_GB2312" w:eastAsia="仿宋_GB2312" w:hAnsi="仿宋" w:cs="Times" w:hint="eastAsia"/>
                <w:noProof/>
                <w:kern w:val="0"/>
                <w:sz w:val="32"/>
                <w:szCs w:val="32"/>
                <w:lang w:val="zh-CN"/>
              </w:rPr>
              <w:t>（二）境内外仿制药品</w:t>
            </w:r>
            <w:r w:rsidRPr="008810D2">
              <w:rPr>
                <w:rFonts w:ascii="仿宋_GB2312" w:eastAsia="仿宋_GB2312" w:hint="eastAsia"/>
                <w:noProof/>
                <w:webHidden/>
                <w:sz w:val="32"/>
                <w:szCs w:val="32"/>
              </w:rPr>
              <w:tab/>
            </w:r>
            <w:r w:rsidRPr="008810D2">
              <w:rPr>
                <w:rFonts w:ascii="仿宋_GB2312" w:eastAsia="仿宋_GB2312" w:hint="eastAsia"/>
                <w:noProof/>
                <w:webHidden/>
                <w:sz w:val="32"/>
                <w:szCs w:val="32"/>
              </w:rPr>
              <w:fldChar w:fldCharType="begin"/>
            </w:r>
            <w:r w:rsidRPr="008810D2">
              <w:rPr>
                <w:rFonts w:ascii="仿宋_GB2312" w:eastAsia="仿宋_GB2312" w:hint="eastAsia"/>
                <w:noProof/>
                <w:webHidden/>
                <w:sz w:val="32"/>
                <w:szCs w:val="32"/>
              </w:rPr>
              <w:instrText xml:space="preserve"> PAGEREF _Toc53394232 \h </w:instrText>
            </w:r>
            <w:r w:rsidRPr="008810D2">
              <w:rPr>
                <w:rFonts w:ascii="仿宋_GB2312" w:eastAsia="仿宋_GB2312" w:hint="eastAsia"/>
                <w:noProof/>
                <w:webHidden/>
                <w:sz w:val="32"/>
                <w:szCs w:val="32"/>
              </w:rPr>
            </w:r>
            <w:r w:rsidRPr="008810D2">
              <w:rPr>
                <w:rFonts w:ascii="仿宋_GB2312" w:eastAsia="仿宋_GB2312" w:hint="eastAsia"/>
                <w:noProof/>
                <w:webHidden/>
                <w:sz w:val="32"/>
                <w:szCs w:val="32"/>
              </w:rPr>
              <w:fldChar w:fldCharType="separate"/>
            </w:r>
            <w:r w:rsidRPr="008810D2">
              <w:rPr>
                <w:rFonts w:ascii="仿宋_GB2312" w:eastAsia="仿宋_GB2312" w:hint="eastAsia"/>
                <w:noProof/>
                <w:webHidden/>
                <w:sz w:val="32"/>
                <w:szCs w:val="32"/>
              </w:rPr>
              <w:t>7</w:t>
            </w:r>
            <w:r w:rsidRPr="008810D2">
              <w:rPr>
                <w:rFonts w:ascii="仿宋_GB2312" w:eastAsia="仿宋_GB2312" w:hint="eastAsia"/>
                <w:noProof/>
                <w:webHidden/>
                <w:sz w:val="32"/>
                <w:szCs w:val="32"/>
              </w:rPr>
              <w:fldChar w:fldCharType="end"/>
            </w:r>
          </w:hyperlink>
        </w:p>
        <w:p w:rsidR="008810D2" w:rsidRPr="008810D2" w:rsidRDefault="008810D2">
          <w:pPr>
            <w:pStyle w:val="3"/>
            <w:tabs>
              <w:tab w:val="right" w:leader="dot" w:pos="8302"/>
            </w:tabs>
            <w:rPr>
              <w:rFonts w:ascii="仿宋_GB2312" w:eastAsia="仿宋_GB2312" w:hint="eastAsia"/>
              <w:noProof/>
              <w:sz w:val="32"/>
              <w:szCs w:val="32"/>
            </w:rPr>
          </w:pPr>
          <w:hyperlink w:anchor="_Toc53394233" w:history="1">
            <w:r w:rsidRPr="008810D2">
              <w:rPr>
                <w:rStyle w:val="a9"/>
                <w:rFonts w:ascii="仿宋_GB2312" w:eastAsia="仿宋_GB2312" w:hAnsi="仿宋" w:cs="Arial Unicode MS" w:hint="eastAsia"/>
                <w:noProof/>
                <w:kern w:val="0"/>
                <w:sz w:val="32"/>
                <w:szCs w:val="32"/>
                <w:lang w:val="zh-CN"/>
              </w:rPr>
              <w:t>1.基于临床评价结果的考虑</w:t>
            </w:r>
            <w:r w:rsidRPr="008810D2">
              <w:rPr>
                <w:rFonts w:ascii="仿宋_GB2312" w:eastAsia="仿宋_GB2312" w:hint="eastAsia"/>
                <w:noProof/>
                <w:webHidden/>
                <w:sz w:val="32"/>
                <w:szCs w:val="32"/>
              </w:rPr>
              <w:tab/>
            </w:r>
            <w:r w:rsidRPr="008810D2">
              <w:rPr>
                <w:rFonts w:ascii="仿宋_GB2312" w:eastAsia="仿宋_GB2312" w:hint="eastAsia"/>
                <w:noProof/>
                <w:webHidden/>
                <w:sz w:val="32"/>
                <w:szCs w:val="32"/>
              </w:rPr>
              <w:fldChar w:fldCharType="begin"/>
            </w:r>
            <w:r w:rsidRPr="008810D2">
              <w:rPr>
                <w:rFonts w:ascii="仿宋_GB2312" w:eastAsia="仿宋_GB2312" w:hint="eastAsia"/>
                <w:noProof/>
                <w:webHidden/>
                <w:sz w:val="32"/>
                <w:szCs w:val="32"/>
              </w:rPr>
              <w:instrText xml:space="preserve"> PAGEREF _Toc53394233 \h </w:instrText>
            </w:r>
            <w:r w:rsidRPr="008810D2">
              <w:rPr>
                <w:rFonts w:ascii="仿宋_GB2312" w:eastAsia="仿宋_GB2312" w:hint="eastAsia"/>
                <w:noProof/>
                <w:webHidden/>
                <w:sz w:val="32"/>
                <w:szCs w:val="32"/>
              </w:rPr>
            </w:r>
            <w:r w:rsidRPr="008810D2">
              <w:rPr>
                <w:rFonts w:ascii="仿宋_GB2312" w:eastAsia="仿宋_GB2312" w:hint="eastAsia"/>
                <w:noProof/>
                <w:webHidden/>
                <w:sz w:val="32"/>
                <w:szCs w:val="32"/>
              </w:rPr>
              <w:fldChar w:fldCharType="separate"/>
            </w:r>
            <w:r w:rsidRPr="008810D2">
              <w:rPr>
                <w:rFonts w:ascii="仿宋_GB2312" w:eastAsia="仿宋_GB2312" w:hint="eastAsia"/>
                <w:noProof/>
                <w:webHidden/>
                <w:sz w:val="32"/>
                <w:szCs w:val="32"/>
              </w:rPr>
              <w:t>8</w:t>
            </w:r>
            <w:r w:rsidRPr="008810D2">
              <w:rPr>
                <w:rFonts w:ascii="仿宋_GB2312" w:eastAsia="仿宋_GB2312" w:hint="eastAsia"/>
                <w:noProof/>
                <w:webHidden/>
                <w:sz w:val="32"/>
                <w:szCs w:val="32"/>
              </w:rPr>
              <w:fldChar w:fldCharType="end"/>
            </w:r>
          </w:hyperlink>
        </w:p>
        <w:p w:rsidR="008810D2" w:rsidRDefault="008810D2">
          <w:pPr>
            <w:pStyle w:val="3"/>
            <w:tabs>
              <w:tab w:val="right" w:leader="dot" w:pos="8302"/>
            </w:tabs>
            <w:rPr>
              <w:noProof/>
            </w:rPr>
          </w:pPr>
          <w:hyperlink w:anchor="_Toc53394234" w:history="1">
            <w:r w:rsidRPr="008810D2">
              <w:rPr>
                <w:rStyle w:val="a9"/>
                <w:rFonts w:ascii="仿宋_GB2312" w:eastAsia="仿宋_GB2312" w:hAnsi="仿宋" w:cs="Arial Unicode MS" w:hint="eastAsia"/>
                <w:noProof/>
                <w:kern w:val="0"/>
                <w:sz w:val="32"/>
                <w:szCs w:val="32"/>
                <w:lang w:val="zh-CN"/>
              </w:rPr>
              <w:t>2.基于制剂学因素的考虑</w:t>
            </w:r>
            <w:r w:rsidRPr="008810D2">
              <w:rPr>
                <w:rFonts w:ascii="仿宋_GB2312" w:eastAsia="仿宋_GB2312" w:hint="eastAsia"/>
                <w:noProof/>
                <w:webHidden/>
                <w:sz w:val="32"/>
                <w:szCs w:val="32"/>
              </w:rPr>
              <w:tab/>
            </w:r>
            <w:r w:rsidRPr="008810D2">
              <w:rPr>
                <w:rFonts w:ascii="仿宋_GB2312" w:eastAsia="仿宋_GB2312" w:hint="eastAsia"/>
                <w:noProof/>
                <w:webHidden/>
                <w:sz w:val="32"/>
                <w:szCs w:val="32"/>
              </w:rPr>
              <w:fldChar w:fldCharType="begin"/>
            </w:r>
            <w:r w:rsidRPr="008810D2">
              <w:rPr>
                <w:rFonts w:ascii="仿宋_GB2312" w:eastAsia="仿宋_GB2312" w:hint="eastAsia"/>
                <w:noProof/>
                <w:webHidden/>
                <w:sz w:val="32"/>
                <w:szCs w:val="32"/>
              </w:rPr>
              <w:instrText xml:space="preserve"> PAGEREF _Toc53394234 \h </w:instrText>
            </w:r>
            <w:r w:rsidRPr="008810D2">
              <w:rPr>
                <w:rFonts w:ascii="仿宋_GB2312" w:eastAsia="仿宋_GB2312" w:hint="eastAsia"/>
                <w:noProof/>
                <w:webHidden/>
                <w:sz w:val="32"/>
                <w:szCs w:val="32"/>
              </w:rPr>
            </w:r>
            <w:r w:rsidRPr="008810D2">
              <w:rPr>
                <w:rFonts w:ascii="仿宋_GB2312" w:eastAsia="仿宋_GB2312" w:hint="eastAsia"/>
                <w:noProof/>
                <w:webHidden/>
                <w:sz w:val="32"/>
                <w:szCs w:val="32"/>
              </w:rPr>
              <w:fldChar w:fldCharType="separate"/>
            </w:r>
            <w:r w:rsidRPr="008810D2">
              <w:rPr>
                <w:rFonts w:ascii="仿宋_GB2312" w:eastAsia="仿宋_GB2312" w:hint="eastAsia"/>
                <w:noProof/>
                <w:webHidden/>
                <w:sz w:val="32"/>
                <w:szCs w:val="32"/>
              </w:rPr>
              <w:t>8</w:t>
            </w:r>
            <w:r w:rsidRPr="008810D2">
              <w:rPr>
                <w:rFonts w:ascii="仿宋_GB2312" w:eastAsia="仿宋_GB2312" w:hint="eastAsia"/>
                <w:noProof/>
                <w:webHidden/>
                <w:sz w:val="32"/>
                <w:szCs w:val="32"/>
              </w:rPr>
              <w:fldChar w:fldCharType="end"/>
            </w:r>
          </w:hyperlink>
        </w:p>
        <w:p w:rsidR="00217415" w:rsidRDefault="008256AB">
          <w:pPr>
            <w:pStyle w:val="3"/>
            <w:tabs>
              <w:tab w:val="right" w:leader="dot" w:pos="8302"/>
            </w:tabs>
            <w:rPr>
              <w:rFonts w:ascii="仿宋_GB2312" w:eastAsia="仿宋_GB2312"/>
              <w:sz w:val="32"/>
              <w:szCs w:val="32"/>
            </w:rPr>
          </w:pPr>
          <w:r>
            <w:rPr>
              <w:rFonts w:ascii="仿宋_GB2312" w:eastAsia="仿宋_GB2312" w:hint="eastAsia"/>
              <w:b/>
              <w:bCs/>
              <w:sz w:val="32"/>
              <w:szCs w:val="32"/>
              <w:lang w:val="zh-CN"/>
            </w:rPr>
            <w:fldChar w:fldCharType="end"/>
          </w:r>
        </w:p>
      </w:sdtContent>
    </w:sdt>
    <w:p w:rsidR="00217415" w:rsidRDefault="00217415">
      <w:pPr>
        <w:keepNext/>
        <w:keepLines/>
        <w:widowControl/>
        <w:spacing w:line="276" w:lineRule="auto"/>
        <w:jc w:val="center"/>
        <w:rPr>
          <w:rFonts w:asciiTheme="majorHAnsi" w:eastAsiaTheme="majorEastAsia" w:hAnsiTheme="majorHAnsi" w:cs="Times New Roman"/>
          <w:color w:val="2E74B5" w:themeColor="accent1" w:themeShade="BF"/>
          <w:kern w:val="0"/>
          <w:sz w:val="22"/>
          <w:szCs w:val="32"/>
        </w:rPr>
      </w:pPr>
    </w:p>
    <w:p w:rsidR="00217415" w:rsidRDefault="00217415">
      <w:pPr>
        <w:widowControl/>
        <w:spacing w:line="360" w:lineRule="auto"/>
        <w:jc w:val="left"/>
        <w:outlineLvl w:val="0"/>
        <w:rPr>
          <w:rFonts w:ascii="黑体" w:eastAsia="黑体" w:hAnsi="黑体" w:cs="Times"/>
          <w:color w:val="000000"/>
          <w:kern w:val="0"/>
          <w:sz w:val="32"/>
          <w:szCs w:val="32"/>
          <w:lang w:val="zh-CN"/>
        </w:rPr>
        <w:sectPr w:rsidR="00217415">
          <w:footerReference w:type="default" r:id="rId10"/>
          <w:pgSz w:w="11906" w:h="16838"/>
          <w:pgMar w:top="1440" w:right="1797" w:bottom="1440" w:left="1797" w:header="851" w:footer="992" w:gutter="0"/>
          <w:pgNumType w:start="1"/>
          <w:cols w:space="425"/>
          <w:docGrid w:type="linesAndChars" w:linePitch="312"/>
        </w:sectPr>
      </w:pPr>
      <w:bookmarkStart w:id="1" w:name="_Toc45633133"/>
    </w:p>
    <w:p w:rsidR="00217415" w:rsidRDefault="008256AB">
      <w:pPr>
        <w:widowControl/>
        <w:adjustRightInd w:val="0"/>
        <w:snapToGrid w:val="0"/>
        <w:jc w:val="center"/>
        <w:rPr>
          <w:rFonts w:ascii="方正小标宋简体" w:eastAsia="方正小标宋简体" w:hAnsi="仿宋" w:cs="Arial Unicode MS"/>
          <w:color w:val="000000"/>
          <w:kern w:val="0"/>
          <w:sz w:val="36"/>
          <w:szCs w:val="32"/>
          <w:lang w:val="zh-CN"/>
        </w:rPr>
      </w:pPr>
      <w:r>
        <w:rPr>
          <w:rFonts w:ascii="方正小标宋简体" w:eastAsia="方正小标宋简体" w:hAnsi="仿宋" w:cs="Arial Unicode MS" w:hint="eastAsia"/>
          <w:color w:val="000000"/>
          <w:kern w:val="0"/>
          <w:sz w:val="36"/>
          <w:szCs w:val="32"/>
          <w:lang w:val="zh-CN"/>
        </w:rPr>
        <w:lastRenderedPageBreak/>
        <w:t>境外已上市境内未上市药品临床技术要求</w:t>
      </w:r>
    </w:p>
    <w:p w:rsidR="00217415" w:rsidRDefault="008256AB" w:rsidP="00B00025">
      <w:pPr>
        <w:widowControl/>
        <w:adjustRightInd w:val="0"/>
        <w:snapToGrid w:val="0"/>
        <w:spacing w:before="240" w:line="360" w:lineRule="auto"/>
        <w:ind w:firstLineChars="200" w:firstLine="640"/>
        <w:outlineLvl w:val="0"/>
        <w:rPr>
          <w:rFonts w:ascii="黑体" w:eastAsia="黑体" w:hAnsi="黑体" w:cs="Times"/>
          <w:color w:val="000000"/>
          <w:kern w:val="0"/>
          <w:sz w:val="32"/>
          <w:szCs w:val="32"/>
          <w:lang w:val="zh-CN"/>
        </w:rPr>
      </w:pPr>
      <w:bookmarkStart w:id="2" w:name="_Toc53394214"/>
      <w:r>
        <w:rPr>
          <w:rFonts w:ascii="黑体" w:eastAsia="黑体" w:hAnsi="黑体" w:cs="Times" w:hint="eastAsia"/>
          <w:color w:val="000000"/>
          <w:kern w:val="0"/>
          <w:sz w:val="32"/>
          <w:szCs w:val="32"/>
          <w:lang w:val="zh-CN"/>
        </w:rPr>
        <w:t>一、背景</w:t>
      </w:r>
      <w:bookmarkEnd w:id="1"/>
      <w:bookmarkEnd w:id="2"/>
    </w:p>
    <w:p w:rsidR="00217415" w:rsidRDefault="008256AB">
      <w:pPr>
        <w:widowControl/>
        <w:adjustRightInd w:val="0"/>
        <w:snapToGrid w:val="0"/>
        <w:spacing w:line="360" w:lineRule="auto"/>
        <w:ind w:firstLineChars="200" w:firstLine="640"/>
        <w:rPr>
          <w:rFonts w:ascii="仿宋_GB2312" w:eastAsia="仿宋_GB2312" w:hAnsi="仿宋" w:cs="Times"/>
          <w:color w:val="000000"/>
          <w:kern w:val="0"/>
          <w:sz w:val="32"/>
          <w:szCs w:val="32"/>
          <w:lang w:val="zh-CN"/>
        </w:rPr>
      </w:pPr>
      <w:r>
        <w:rPr>
          <w:rFonts w:ascii="仿宋_GB2312" w:eastAsia="仿宋_GB2312" w:hAnsi="仿宋" w:cs="Times" w:hint="eastAsia"/>
          <w:color w:val="000000"/>
          <w:kern w:val="0"/>
          <w:sz w:val="32"/>
          <w:szCs w:val="32"/>
          <w:lang w:val="zh-CN"/>
        </w:rPr>
        <w:t>境外已上市药品境内上市或仿制，是解决我国患者对临床迫切需求领域药品的可获得性和可及性的重要手段。为加快境外已上市境内未上市原研药品</w:t>
      </w:r>
      <w:r w:rsidR="001F3638">
        <w:rPr>
          <w:rFonts w:ascii="仿宋_GB2312" w:eastAsia="仿宋_GB2312" w:hAnsi="仿宋" w:cs="Times" w:hint="eastAsia"/>
          <w:color w:val="000000"/>
          <w:kern w:val="0"/>
          <w:sz w:val="32"/>
          <w:szCs w:val="32"/>
          <w:lang w:val="zh-CN"/>
        </w:rPr>
        <w:t>及</w:t>
      </w:r>
      <w:r>
        <w:rPr>
          <w:rFonts w:ascii="仿宋_GB2312" w:eastAsia="仿宋_GB2312" w:hAnsi="仿宋" w:cs="Times" w:hint="eastAsia"/>
          <w:color w:val="000000"/>
          <w:kern w:val="0"/>
          <w:sz w:val="32"/>
          <w:szCs w:val="32"/>
          <w:lang w:val="zh-CN"/>
        </w:rPr>
        <w:t>仿制药品研发上市进程，依据《药品注册管理办法》（总局令第27号）及其配套文件，结合《接受境外临床试验数据的技术指导原则》（2018年52号文），制定对此类药品临床研究和评价的技术要求，为工业界、学术界和监管机构提供技术参考。</w:t>
      </w:r>
    </w:p>
    <w:p w:rsidR="00217415" w:rsidRDefault="008256AB">
      <w:pPr>
        <w:widowControl/>
        <w:adjustRightInd w:val="0"/>
        <w:snapToGrid w:val="0"/>
        <w:spacing w:line="360" w:lineRule="auto"/>
        <w:ind w:firstLineChars="200" w:firstLine="640"/>
        <w:outlineLvl w:val="0"/>
        <w:rPr>
          <w:rFonts w:ascii="黑体" w:eastAsia="黑体" w:hAnsi="黑体" w:cs="Times"/>
          <w:color w:val="000000"/>
          <w:kern w:val="0"/>
          <w:sz w:val="32"/>
          <w:szCs w:val="32"/>
        </w:rPr>
      </w:pPr>
      <w:bookmarkStart w:id="3" w:name="_Toc45633134"/>
      <w:bookmarkStart w:id="4" w:name="_Toc53394215"/>
      <w:r>
        <w:rPr>
          <w:rFonts w:ascii="黑体" w:eastAsia="黑体" w:hAnsi="黑体" w:cs="Times" w:hint="eastAsia"/>
          <w:color w:val="000000"/>
          <w:kern w:val="0"/>
          <w:sz w:val="32"/>
          <w:szCs w:val="32"/>
          <w:lang w:val="zh-CN"/>
        </w:rPr>
        <w:t>二、适用范围</w:t>
      </w:r>
      <w:bookmarkEnd w:id="3"/>
      <w:bookmarkEnd w:id="4"/>
    </w:p>
    <w:p w:rsidR="00217415" w:rsidRDefault="008256AB">
      <w:pPr>
        <w:widowControl/>
        <w:adjustRightInd w:val="0"/>
        <w:snapToGrid w:val="0"/>
        <w:spacing w:line="360" w:lineRule="auto"/>
        <w:ind w:firstLineChars="200" w:firstLine="640"/>
        <w:rPr>
          <w:rFonts w:ascii="仿宋_GB2312" w:eastAsia="仿宋_GB2312" w:hAnsi="仿宋" w:cs="Times"/>
          <w:color w:val="000000"/>
          <w:kern w:val="0"/>
          <w:sz w:val="32"/>
          <w:szCs w:val="32"/>
        </w:rPr>
      </w:pPr>
      <w:r>
        <w:rPr>
          <w:rFonts w:ascii="仿宋_GB2312" w:eastAsia="仿宋_GB2312" w:hAnsi="仿宋" w:cs="Times" w:hint="eastAsia"/>
          <w:color w:val="000000"/>
          <w:kern w:val="0"/>
          <w:sz w:val="32"/>
          <w:szCs w:val="32"/>
        </w:rPr>
        <w:t>本技术要求适用于境外已上市境内未上市的药品，主要包括两类情形：（1）境外已上市的原研化学药品和治疗用生物制品；（2）境内外化学药品仿制药。</w:t>
      </w:r>
    </w:p>
    <w:p w:rsidR="00217415" w:rsidRDefault="008256AB">
      <w:pPr>
        <w:widowControl/>
        <w:adjustRightInd w:val="0"/>
        <w:snapToGrid w:val="0"/>
        <w:spacing w:line="360" w:lineRule="auto"/>
        <w:ind w:firstLineChars="200" w:firstLine="640"/>
        <w:outlineLvl w:val="0"/>
        <w:rPr>
          <w:rFonts w:ascii="黑体" w:eastAsia="黑体" w:hAnsi="黑体" w:cs="Times"/>
          <w:color w:val="000000"/>
          <w:kern w:val="0"/>
          <w:sz w:val="32"/>
          <w:szCs w:val="32"/>
          <w:lang w:val="zh-CN"/>
        </w:rPr>
      </w:pPr>
      <w:bookmarkStart w:id="5" w:name="_Toc45633135"/>
      <w:bookmarkStart w:id="6" w:name="_Toc53394216"/>
      <w:r>
        <w:rPr>
          <w:rFonts w:ascii="黑体" w:eastAsia="黑体" w:hAnsi="黑体" w:cs="Times" w:hint="eastAsia"/>
          <w:color w:val="000000"/>
          <w:kern w:val="0"/>
          <w:sz w:val="32"/>
          <w:szCs w:val="32"/>
          <w:lang w:val="zh-CN"/>
        </w:rPr>
        <w:t>三、基本考虑</w:t>
      </w:r>
      <w:bookmarkEnd w:id="5"/>
      <w:bookmarkEnd w:id="6"/>
    </w:p>
    <w:p w:rsidR="00217415" w:rsidRDefault="008256AB">
      <w:pPr>
        <w:widowControl/>
        <w:adjustRightInd w:val="0"/>
        <w:snapToGrid w:val="0"/>
        <w:spacing w:line="360" w:lineRule="auto"/>
        <w:ind w:firstLineChars="200" w:firstLine="640"/>
        <w:rPr>
          <w:rFonts w:ascii="仿宋_GB2312" w:eastAsia="仿宋_GB2312" w:hAnsi="仿宋" w:cs="Times"/>
          <w:color w:val="000000"/>
          <w:kern w:val="0"/>
          <w:sz w:val="32"/>
          <w:szCs w:val="32"/>
        </w:rPr>
      </w:pPr>
      <w:r>
        <w:rPr>
          <w:rFonts w:ascii="仿宋_GB2312" w:eastAsia="仿宋_GB2312" w:hAnsi="仿宋" w:cs="Times" w:hint="eastAsia"/>
          <w:color w:val="000000"/>
          <w:kern w:val="0"/>
          <w:sz w:val="32"/>
          <w:szCs w:val="32"/>
        </w:rPr>
        <w:t>境外已上市境内未上市药品的临床技术要求，应遵循临床评价基本逻辑，在充分评价中国患者临床需求、境外原研药品临床安全性和有效性、以及种族因素影响的基础上，基于中国患者获益/风险评估的需要，确定其在境内上市需开展的临床试验技术要求。</w:t>
      </w:r>
    </w:p>
    <w:p w:rsidR="00217415" w:rsidRDefault="008256AB">
      <w:pPr>
        <w:widowControl/>
        <w:adjustRightInd w:val="0"/>
        <w:snapToGrid w:val="0"/>
        <w:spacing w:line="360" w:lineRule="auto"/>
        <w:ind w:firstLineChars="200" w:firstLine="640"/>
        <w:outlineLvl w:val="0"/>
        <w:rPr>
          <w:rFonts w:ascii="黑体" w:eastAsia="黑体" w:hAnsi="黑体" w:cs="Arial Unicode MS"/>
          <w:b/>
          <w:color w:val="000000"/>
          <w:kern w:val="0"/>
          <w:sz w:val="32"/>
          <w:szCs w:val="32"/>
        </w:rPr>
      </w:pPr>
      <w:bookmarkStart w:id="7" w:name="_Toc45633136"/>
      <w:bookmarkStart w:id="8" w:name="_Toc53394217"/>
      <w:r>
        <w:rPr>
          <w:rFonts w:ascii="黑体" w:eastAsia="黑体" w:hAnsi="黑体" w:cs="Times" w:hint="eastAsia"/>
          <w:color w:val="000000"/>
          <w:kern w:val="0"/>
          <w:sz w:val="32"/>
          <w:szCs w:val="32"/>
          <w:lang w:val="zh-CN"/>
        </w:rPr>
        <w:t>四、临床评价基本逻辑</w:t>
      </w:r>
      <w:bookmarkEnd w:id="7"/>
      <w:bookmarkEnd w:id="8"/>
    </w:p>
    <w:p w:rsidR="00217415" w:rsidRDefault="008256AB">
      <w:pPr>
        <w:widowControl/>
        <w:adjustRightInd w:val="0"/>
        <w:snapToGrid w:val="0"/>
        <w:spacing w:line="360" w:lineRule="auto"/>
        <w:ind w:firstLineChars="200" w:firstLine="640"/>
        <w:outlineLvl w:val="1"/>
        <w:rPr>
          <w:rFonts w:ascii="楷体_GB2312" w:eastAsia="楷体_GB2312" w:hAnsi="仿宋" w:cs="Arial Unicode MS"/>
          <w:color w:val="000000"/>
          <w:kern w:val="0"/>
          <w:sz w:val="32"/>
          <w:szCs w:val="32"/>
        </w:rPr>
      </w:pPr>
      <w:bookmarkStart w:id="9" w:name="_Toc45633137"/>
      <w:bookmarkStart w:id="10" w:name="_Toc53394218"/>
      <w:r>
        <w:rPr>
          <w:rFonts w:ascii="楷体_GB2312" w:eastAsia="楷体_GB2312" w:hAnsi="仿宋" w:cs="Arial Unicode MS" w:hint="eastAsia"/>
          <w:color w:val="000000"/>
          <w:kern w:val="0"/>
          <w:sz w:val="32"/>
          <w:szCs w:val="32"/>
        </w:rPr>
        <w:t>（一）临床需求评估</w:t>
      </w:r>
      <w:bookmarkEnd w:id="9"/>
      <w:bookmarkEnd w:id="10"/>
    </w:p>
    <w:p w:rsidR="00217415" w:rsidRDefault="008256AB">
      <w:pPr>
        <w:widowControl/>
        <w:adjustRightInd w:val="0"/>
        <w:snapToGrid w:val="0"/>
        <w:spacing w:line="360" w:lineRule="auto"/>
        <w:ind w:firstLineChars="200" w:firstLine="640"/>
        <w:rPr>
          <w:rFonts w:ascii="仿宋_GB2312" w:eastAsia="仿宋_GB2312" w:hAnsi="仿宋" w:cs="Times"/>
          <w:color w:val="000000"/>
          <w:kern w:val="0"/>
          <w:sz w:val="32"/>
          <w:szCs w:val="32"/>
        </w:rPr>
      </w:pPr>
      <w:r>
        <w:rPr>
          <w:rFonts w:ascii="仿宋_GB2312" w:eastAsia="仿宋_GB2312" w:hAnsi="仿宋" w:cs="Times" w:hint="eastAsia"/>
          <w:color w:val="000000"/>
          <w:kern w:val="0"/>
          <w:sz w:val="32"/>
          <w:szCs w:val="32"/>
        </w:rPr>
        <w:lastRenderedPageBreak/>
        <w:t>应分析拟申报适应症在我国的疾病流行病学现状、疾病严重程度和预后，现有治疗手段及其局限性，明确该药品与国内现有治疗手段的比较优势，进而对中国患者临床需求的程度做出判断。</w:t>
      </w:r>
    </w:p>
    <w:p w:rsidR="00217415" w:rsidRDefault="008256AB">
      <w:pPr>
        <w:widowControl/>
        <w:adjustRightInd w:val="0"/>
        <w:snapToGrid w:val="0"/>
        <w:spacing w:line="360" w:lineRule="auto"/>
        <w:ind w:firstLineChars="200" w:firstLine="640"/>
        <w:rPr>
          <w:rFonts w:ascii="仿宋_GB2312" w:eastAsia="仿宋_GB2312" w:hAnsi="仿宋" w:cs="Times"/>
          <w:color w:val="000000"/>
          <w:kern w:val="0"/>
          <w:sz w:val="32"/>
          <w:szCs w:val="32"/>
        </w:rPr>
      </w:pPr>
      <w:r>
        <w:rPr>
          <w:rFonts w:ascii="仿宋_GB2312" w:eastAsia="仿宋_GB2312" w:hAnsi="仿宋" w:cs="Times" w:hint="eastAsia"/>
          <w:color w:val="000000"/>
          <w:kern w:val="0"/>
          <w:sz w:val="32"/>
          <w:szCs w:val="32"/>
        </w:rPr>
        <w:t>对用于临床缺乏有效治疗手段的危重疾病和罕见病治疗药品等，监管机构持鼓励态度，以解决公众用药可获得性为首要前提进行审评审批。</w:t>
      </w:r>
    </w:p>
    <w:p w:rsidR="00217415" w:rsidRDefault="008256AB">
      <w:pPr>
        <w:widowControl/>
        <w:adjustRightInd w:val="0"/>
        <w:snapToGrid w:val="0"/>
        <w:spacing w:line="360" w:lineRule="auto"/>
        <w:ind w:firstLineChars="200" w:firstLine="640"/>
        <w:outlineLvl w:val="1"/>
        <w:rPr>
          <w:rFonts w:ascii="楷体_GB2312" w:eastAsia="楷体_GB2312" w:hAnsi="仿宋" w:cs="Arial Unicode MS"/>
          <w:color w:val="000000"/>
          <w:kern w:val="0"/>
          <w:sz w:val="32"/>
          <w:szCs w:val="32"/>
        </w:rPr>
      </w:pPr>
      <w:bookmarkStart w:id="11" w:name="_Toc45633138"/>
      <w:bookmarkStart w:id="12" w:name="_Toc53394219"/>
      <w:r>
        <w:rPr>
          <w:rFonts w:ascii="楷体_GB2312" w:eastAsia="楷体_GB2312" w:hAnsi="仿宋" w:cs="Arial Unicode MS" w:hint="eastAsia"/>
          <w:color w:val="000000"/>
          <w:kern w:val="0"/>
          <w:sz w:val="32"/>
          <w:szCs w:val="32"/>
        </w:rPr>
        <w:t>（二）有效性和安全性评价</w:t>
      </w:r>
      <w:bookmarkEnd w:id="11"/>
      <w:bookmarkEnd w:id="12"/>
    </w:p>
    <w:p w:rsidR="00217415" w:rsidRDefault="008256AB">
      <w:pPr>
        <w:widowControl/>
        <w:adjustRightInd w:val="0"/>
        <w:snapToGrid w:val="0"/>
        <w:spacing w:line="360" w:lineRule="auto"/>
        <w:ind w:firstLineChars="200" w:firstLine="640"/>
        <w:rPr>
          <w:rFonts w:ascii="仿宋_GB2312" w:eastAsia="仿宋_GB2312" w:hAnsi="仿宋" w:cs="Times"/>
          <w:color w:val="000000"/>
          <w:kern w:val="0"/>
          <w:sz w:val="32"/>
          <w:szCs w:val="32"/>
        </w:rPr>
      </w:pPr>
      <w:r>
        <w:rPr>
          <w:rFonts w:ascii="仿宋_GB2312" w:eastAsia="仿宋_GB2312" w:hAnsi="仿宋" w:cs="Times" w:hint="eastAsia"/>
          <w:color w:val="000000"/>
          <w:kern w:val="0"/>
          <w:sz w:val="32"/>
          <w:szCs w:val="32"/>
        </w:rPr>
        <w:t>首先，应基于原研药品的临床研究数据，按照中国相关技术要求，对药品的有效性和安全性进行科学评价。评价步骤为：</w:t>
      </w:r>
    </w:p>
    <w:p w:rsidR="00217415" w:rsidRDefault="008256AB">
      <w:pPr>
        <w:pStyle w:val="aa"/>
        <w:widowControl/>
        <w:numPr>
          <w:ilvl w:val="0"/>
          <w:numId w:val="1"/>
        </w:numPr>
        <w:adjustRightInd w:val="0"/>
        <w:snapToGrid w:val="0"/>
        <w:spacing w:line="360" w:lineRule="auto"/>
        <w:ind w:firstLineChars="0"/>
        <w:outlineLvl w:val="2"/>
        <w:rPr>
          <w:rFonts w:ascii="仿宋_GB2312" w:eastAsia="仿宋_GB2312" w:hAnsi="仿宋" w:cs="Arial Unicode MS"/>
          <w:color w:val="000000"/>
          <w:kern w:val="0"/>
          <w:sz w:val="32"/>
          <w:szCs w:val="32"/>
          <w:lang w:val="zh-CN"/>
        </w:rPr>
      </w:pPr>
      <w:bookmarkStart w:id="13" w:name="_Toc45633139"/>
      <w:bookmarkStart w:id="14" w:name="_Toc53394220"/>
      <w:r>
        <w:rPr>
          <w:rFonts w:ascii="仿宋_GB2312" w:eastAsia="仿宋_GB2312" w:hAnsi="仿宋" w:cs="Arial Unicode MS" w:hint="eastAsia"/>
          <w:color w:val="000000"/>
          <w:kern w:val="0"/>
          <w:sz w:val="32"/>
          <w:szCs w:val="32"/>
          <w:lang w:val="zh-CN"/>
        </w:rPr>
        <w:t>明确临床数据来源</w:t>
      </w:r>
      <w:bookmarkEnd w:id="13"/>
      <w:bookmarkEnd w:id="14"/>
    </w:p>
    <w:p w:rsidR="00217415" w:rsidRDefault="008256AB">
      <w:pPr>
        <w:widowControl/>
        <w:adjustRightInd w:val="0"/>
        <w:snapToGrid w:val="0"/>
        <w:spacing w:line="360" w:lineRule="auto"/>
        <w:ind w:firstLineChars="200" w:firstLine="640"/>
        <w:rPr>
          <w:rFonts w:ascii="仿宋_GB2312" w:eastAsia="仿宋_GB2312" w:hAnsi="仿宋" w:cs="Arial Unicode MS"/>
          <w:color w:val="000000"/>
          <w:kern w:val="0"/>
          <w:sz w:val="32"/>
          <w:szCs w:val="32"/>
          <w:lang w:val="zh-CN"/>
        </w:rPr>
      </w:pPr>
      <w:r>
        <w:rPr>
          <w:rFonts w:ascii="仿宋_GB2312" w:eastAsia="仿宋_GB2312" w:hAnsi="仿宋" w:cs="Times" w:hint="eastAsia"/>
          <w:color w:val="000000"/>
          <w:kern w:val="0"/>
          <w:sz w:val="32"/>
          <w:szCs w:val="32"/>
        </w:rPr>
        <w:t>主要包括两部分数据，一是用于注册的临床试验数据，二是上市后临床数据。同时要关注国外监管机构对原研药品的动态评估。</w:t>
      </w:r>
    </w:p>
    <w:p w:rsidR="00217415" w:rsidRDefault="008256AB">
      <w:pPr>
        <w:widowControl/>
        <w:adjustRightInd w:val="0"/>
        <w:snapToGrid w:val="0"/>
        <w:spacing w:line="360" w:lineRule="auto"/>
        <w:ind w:firstLineChars="200" w:firstLine="640"/>
        <w:outlineLvl w:val="2"/>
        <w:rPr>
          <w:rFonts w:ascii="仿宋_GB2312" w:eastAsia="仿宋_GB2312" w:hAnsi="仿宋" w:cs="Arial Unicode MS"/>
          <w:color w:val="000000"/>
          <w:kern w:val="0"/>
          <w:sz w:val="32"/>
          <w:szCs w:val="32"/>
          <w:lang w:val="zh-CN"/>
        </w:rPr>
      </w:pPr>
      <w:bookmarkStart w:id="15" w:name="_Toc45633140"/>
      <w:bookmarkStart w:id="16" w:name="_Toc53394221"/>
      <w:r>
        <w:rPr>
          <w:rFonts w:ascii="仿宋_GB2312" w:eastAsia="仿宋_GB2312" w:hAnsi="仿宋" w:cs="Arial Unicode MS" w:hint="eastAsia"/>
          <w:color w:val="000000"/>
          <w:kern w:val="0"/>
          <w:sz w:val="32"/>
          <w:szCs w:val="32"/>
          <w:lang w:val="zh-CN"/>
        </w:rPr>
        <w:t>2.评估境外临床试验数据质量</w:t>
      </w:r>
      <w:bookmarkEnd w:id="15"/>
      <w:bookmarkEnd w:id="16"/>
    </w:p>
    <w:p w:rsidR="00217415" w:rsidRDefault="008256AB">
      <w:pPr>
        <w:widowControl/>
        <w:adjustRightInd w:val="0"/>
        <w:snapToGrid w:val="0"/>
        <w:spacing w:line="360" w:lineRule="auto"/>
        <w:ind w:firstLineChars="200" w:firstLine="640"/>
        <w:rPr>
          <w:rFonts w:ascii="仿宋_GB2312" w:eastAsia="仿宋_GB2312" w:hAnsi="仿宋" w:cs="Times"/>
          <w:color w:val="000000"/>
          <w:kern w:val="0"/>
          <w:sz w:val="32"/>
          <w:szCs w:val="32"/>
        </w:rPr>
      </w:pPr>
      <w:r>
        <w:rPr>
          <w:rFonts w:ascii="仿宋_GB2312" w:eastAsia="仿宋_GB2312" w:hAnsi="仿宋" w:cs="Times" w:hint="eastAsia"/>
          <w:color w:val="000000"/>
          <w:kern w:val="0"/>
          <w:sz w:val="32"/>
          <w:szCs w:val="32"/>
        </w:rPr>
        <w:t>科学评价临床试验数据的前提是，临床试验按照国际通行GCP开展，临床试验数据应具有真实性、准确性、完整性和可溯源性。申请人可向药品审评部门提供证明支持其上市申请的临床试验数据质量的相关文件或资料。境外管理规范国家</w:t>
      </w:r>
      <w:r>
        <w:rPr>
          <w:rFonts w:ascii="仿宋_GB2312" w:eastAsia="仿宋_GB2312" w:hAnsi="仿宋" w:cs="Times"/>
          <w:color w:val="000000"/>
          <w:kern w:val="0"/>
          <w:sz w:val="32"/>
          <w:szCs w:val="32"/>
        </w:rPr>
        <w:t>的</w:t>
      </w:r>
      <w:r>
        <w:rPr>
          <w:rFonts w:ascii="仿宋_GB2312" w:eastAsia="仿宋_GB2312" w:hAnsi="仿宋" w:cs="Times" w:hint="eastAsia"/>
          <w:color w:val="000000"/>
          <w:kern w:val="0"/>
          <w:sz w:val="32"/>
          <w:szCs w:val="32"/>
        </w:rPr>
        <w:t>监管机构核查结果和结论可作为临床试验数据质量</w:t>
      </w:r>
      <w:r>
        <w:rPr>
          <w:rFonts w:ascii="仿宋_GB2312" w:eastAsia="仿宋_GB2312" w:hAnsi="仿宋" w:cs="Times" w:hint="eastAsia"/>
          <w:color w:val="000000"/>
          <w:kern w:val="0"/>
          <w:sz w:val="32"/>
          <w:szCs w:val="32"/>
        </w:rPr>
        <w:lastRenderedPageBreak/>
        <w:t>评估的参考。中国药品监管机构基于风险对用于支持在中国境内注册上市的临床试验数据进行必要的核查。</w:t>
      </w:r>
    </w:p>
    <w:p w:rsidR="00217415" w:rsidRDefault="008256AB">
      <w:pPr>
        <w:widowControl/>
        <w:adjustRightInd w:val="0"/>
        <w:snapToGrid w:val="0"/>
        <w:spacing w:line="360" w:lineRule="auto"/>
        <w:ind w:firstLineChars="200" w:firstLine="640"/>
        <w:outlineLvl w:val="2"/>
        <w:rPr>
          <w:rFonts w:ascii="仿宋_GB2312" w:eastAsia="仿宋_GB2312" w:hAnsi="仿宋" w:cs="Times"/>
          <w:color w:val="000000"/>
          <w:kern w:val="0"/>
          <w:sz w:val="32"/>
          <w:szCs w:val="32"/>
        </w:rPr>
      </w:pPr>
      <w:bookmarkStart w:id="17" w:name="_Toc45633141"/>
      <w:bookmarkStart w:id="18" w:name="_Toc53394222"/>
      <w:r>
        <w:rPr>
          <w:rFonts w:ascii="仿宋_GB2312" w:eastAsia="仿宋_GB2312" w:hAnsi="仿宋" w:cs="Times" w:hint="eastAsia"/>
          <w:color w:val="000000"/>
          <w:kern w:val="0"/>
          <w:sz w:val="32"/>
          <w:szCs w:val="32"/>
        </w:rPr>
        <w:t>3.了解生物药剂学与临床药理学特征</w:t>
      </w:r>
      <w:bookmarkEnd w:id="17"/>
      <w:bookmarkEnd w:id="18"/>
    </w:p>
    <w:p w:rsidR="00217415" w:rsidRDefault="008256AB">
      <w:pPr>
        <w:widowControl/>
        <w:adjustRightInd w:val="0"/>
        <w:snapToGrid w:val="0"/>
        <w:spacing w:line="360" w:lineRule="auto"/>
        <w:ind w:firstLineChars="200" w:firstLine="640"/>
        <w:rPr>
          <w:rFonts w:ascii="仿宋_GB2312" w:eastAsia="仿宋_GB2312" w:hAnsi="仿宋" w:cs="Times"/>
          <w:color w:val="000000"/>
          <w:kern w:val="0"/>
          <w:sz w:val="32"/>
          <w:szCs w:val="32"/>
        </w:rPr>
      </w:pPr>
      <w:r>
        <w:rPr>
          <w:rFonts w:ascii="仿宋_GB2312" w:eastAsia="仿宋_GB2312" w:hAnsi="仿宋" w:cs="Times" w:hint="eastAsia"/>
          <w:color w:val="000000"/>
          <w:kern w:val="0"/>
          <w:sz w:val="32"/>
          <w:szCs w:val="32"/>
        </w:rPr>
        <w:t>生物药剂学，应关注剂型生物利用度/生物等效性（BA/BE）、食物影响和体外溶出曲线数据。临床药理学，应关注药代动力学（PK）、药效动力学（PD）、药代动力学/药效动力学（PK/PD）相关性、药物相互作用等，为临床安全有效应用提供依据。应参考ICHE5和E17等指导原则，对中国</w:t>
      </w:r>
      <w:r>
        <w:rPr>
          <w:rFonts w:ascii="仿宋_GB2312" w:eastAsia="仿宋_GB2312" w:hAnsi="仿宋" w:cs="Times"/>
          <w:color w:val="000000"/>
          <w:kern w:val="0"/>
          <w:sz w:val="32"/>
          <w:szCs w:val="32"/>
        </w:rPr>
        <w:t>患者人群与境外研究人群</w:t>
      </w:r>
      <w:r>
        <w:rPr>
          <w:rFonts w:ascii="仿宋_GB2312" w:eastAsia="仿宋_GB2312" w:hAnsi="仿宋" w:cs="Times" w:hint="eastAsia"/>
          <w:color w:val="000000"/>
          <w:kern w:val="0"/>
          <w:sz w:val="32"/>
          <w:szCs w:val="32"/>
        </w:rPr>
        <w:t>可能存在的PK和/或PD种族差异进行评估。</w:t>
      </w:r>
    </w:p>
    <w:p w:rsidR="00217415" w:rsidRDefault="008256AB">
      <w:pPr>
        <w:widowControl/>
        <w:adjustRightInd w:val="0"/>
        <w:snapToGrid w:val="0"/>
        <w:spacing w:line="360" w:lineRule="auto"/>
        <w:ind w:firstLineChars="200" w:firstLine="640"/>
        <w:outlineLvl w:val="2"/>
        <w:rPr>
          <w:rFonts w:ascii="仿宋_GB2312" w:eastAsia="仿宋_GB2312" w:hAnsi="仿宋" w:cs="Times"/>
          <w:color w:val="000000"/>
          <w:kern w:val="0"/>
          <w:sz w:val="32"/>
          <w:szCs w:val="32"/>
        </w:rPr>
      </w:pPr>
      <w:bookmarkStart w:id="19" w:name="_Toc45633142"/>
      <w:bookmarkStart w:id="20" w:name="_Toc53394223"/>
      <w:r>
        <w:rPr>
          <w:rFonts w:ascii="仿宋_GB2312" w:eastAsia="仿宋_GB2312" w:hAnsi="仿宋" w:cs="Times" w:hint="eastAsia"/>
          <w:color w:val="000000"/>
          <w:kern w:val="0"/>
          <w:sz w:val="32"/>
          <w:szCs w:val="32"/>
        </w:rPr>
        <w:t>4.评估总体有效性和安全性</w:t>
      </w:r>
      <w:bookmarkEnd w:id="19"/>
      <w:bookmarkEnd w:id="20"/>
    </w:p>
    <w:p w:rsidR="00217415" w:rsidRDefault="008256AB">
      <w:pPr>
        <w:widowControl/>
        <w:adjustRightInd w:val="0"/>
        <w:snapToGrid w:val="0"/>
        <w:spacing w:line="360" w:lineRule="auto"/>
        <w:ind w:firstLineChars="200" w:firstLine="640"/>
        <w:rPr>
          <w:rFonts w:ascii="仿宋_GB2312" w:eastAsia="仿宋_GB2312" w:hAnsi="仿宋" w:cs="Times"/>
          <w:color w:val="000000"/>
          <w:kern w:val="0"/>
          <w:sz w:val="32"/>
          <w:szCs w:val="32"/>
        </w:rPr>
      </w:pPr>
      <w:r>
        <w:rPr>
          <w:rFonts w:ascii="仿宋_GB2312" w:eastAsia="仿宋_GB2312" w:hAnsi="仿宋" w:cs="Times" w:hint="eastAsia"/>
          <w:color w:val="000000"/>
          <w:kern w:val="0"/>
          <w:sz w:val="32"/>
          <w:szCs w:val="32"/>
        </w:rPr>
        <w:t>按照现行的有效性和安全性评价标准，对境外注册临床试验数据和上市后数据进行系统评价，确定研究药物的总体有效性和安全性，并评估总体人群用药的获益是否大于风险。</w:t>
      </w:r>
    </w:p>
    <w:p w:rsidR="00217415" w:rsidRDefault="008256AB">
      <w:pPr>
        <w:widowControl/>
        <w:adjustRightInd w:val="0"/>
        <w:snapToGrid w:val="0"/>
        <w:spacing w:line="360" w:lineRule="auto"/>
        <w:ind w:firstLineChars="200" w:firstLine="640"/>
        <w:outlineLvl w:val="1"/>
        <w:rPr>
          <w:rFonts w:ascii="楷体_GB2312" w:eastAsia="楷体_GB2312" w:hAnsi="仿宋" w:cs="Arial Unicode MS"/>
          <w:color w:val="000000"/>
          <w:kern w:val="0"/>
          <w:sz w:val="32"/>
          <w:szCs w:val="32"/>
        </w:rPr>
      </w:pPr>
      <w:bookmarkStart w:id="21" w:name="_Toc45633143"/>
      <w:bookmarkStart w:id="22" w:name="_Toc53394224"/>
      <w:r>
        <w:rPr>
          <w:rFonts w:ascii="楷体_GB2312" w:eastAsia="楷体_GB2312" w:hAnsi="仿宋" w:cs="Arial Unicode MS" w:hint="eastAsia"/>
          <w:color w:val="000000"/>
          <w:kern w:val="0"/>
          <w:sz w:val="32"/>
          <w:szCs w:val="32"/>
        </w:rPr>
        <w:t>（三）种族敏感性分析</w:t>
      </w:r>
      <w:bookmarkEnd w:id="21"/>
      <w:bookmarkEnd w:id="22"/>
    </w:p>
    <w:p w:rsidR="00217415" w:rsidRDefault="008256AB">
      <w:pPr>
        <w:widowControl/>
        <w:adjustRightInd w:val="0"/>
        <w:snapToGrid w:val="0"/>
        <w:spacing w:line="360" w:lineRule="auto"/>
        <w:ind w:firstLineChars="200" w:firstLine="640"/>
        <w:rPr>
          <w:rFonts w:ascii="仿宋_GB2312" w:eastAsia="仿宋_GB2312" w:hAnsi="仿宋" w:cs="Times"/>
          <w:color w:val="000000"/>
          <w:kern w:val="0"/>
          <w:sz w:val="32"/>
          <w:szCs w:val="32"/>
        </w:rPr>
      </w:pPr>
      <w:r>
        <w:rPr>
          <w:rFonts w:ascii="仿宋_GB2312" w:eastAsia="仿宋_GB2312" w:hAnsi="仿宋" w:cs="Times" w:hint="eastAsia"/>
          <w:color w:val="000000"/>
          <w:kern w:val="0"/>
          <w:sz w:val="32"/>
          <w:szCs w:val="32"/>
        </w:rPr>
        <w:t>种族敏感性分析，应重点关注中国患者人群</w:t>
      </w:r>
      <w:r>
        <w:rPr>
          <w:rFonts w:ascii="仿宋_GB2312" w:eastAsia="仿宋_GB2312" w:hAnsi="仿宋" w:cs="Times"/>
          <w:color w:val="000000"/>
          <w:kern w:val="0"/>
          <w:sz w:val="32"/>
          <w:szCs w:val="32"/>
        </w:rPr>
        <w:t>与境外人群</w:t>
      </w:r>
      <w:r>
        <w:rPr>
          <w:rFonts w:ascii="仿宋_GB2312" w:eastAsia="仿宋_GB2312" w:hAnsi="仿宋" w:cs="Times" w:hint="eastAsia"/>
          <w:color w:val="000000"/>
          <w:kern w:val="0"/>
          <w:sz w:val="32"/>
          <w:szCs w:val="32"/>
        </w:rPr>
        <w:t>PK和/或PD差异可能带来的安全性和有效性影响。该分析应在首先确定药品总体人群获益大于风险的前提下，遵循ICHE5指导原则要求</w:t>
      </w:r>
      <w:r w:rsidR="008810D2">
        <w:rPr>
          <w:rFonts w:ascii="仿宋_GB2312" w:eastAsia="仿宋_GB2312" w:hAnsi="仿宋" w:cs="Times" w:hint="eastAsia"/>
          <w:color w:val="000000"/>
          <w:kern w:val="0"/>
          <w:sz w:val="32"/>
          <w:szCs w:val="32"/>
        </w:rPr>
        <w:t>，</w:t>
      </w:r>
      <w:r>
        <w:rPr>
          <w:rFonts w:ascii="仿宋_GB2312" w:eastAsia="仿宋_GB2312" w:hAnsi="仿宋" w:cs="Times" w:hint="eastAsia"/>
          <w:color w:val="000000"/>
          <w:kern w:val="0"/>
          <w:sz w:val="32"/>
          <w:szCs w:val="32"/>
        </w:rPr>
        <w:t>对已有境外临床试验数据进行种族敏感性分析。种族敏感性分析的内容涉及相关体外、人体PK、PD、有效性和安全性等进行整体评价，判断中国患者人群在治疗反应方面与境外人群是否存在种族敏感性差异，并分析</w:t>
      </w:r>
      <w:r>
        <w:rPr>
          <w:rFonts w:ascii="仿宋_GB2312" w:eastAsia="仿宋_GB2312" w:hAnsi="仿宋" w:cs="Times" w:hint="eastAsia"/>
          <w:color w:val="000000"/>
          <w:kern w:val="0"/>
          <w:sz w:val="32"/>
          <w:szCs w:val="32"/>
        </w:rPr>
        <w:lastRenderedPageBreak/>
        <w:t>境外监管机构根据临床试验数据审评情况采取的监管措施。对于境外已经开展过充分的种族敏感性研究的，申请人在递交上市或仿制申请时还应考虑中国的实际情况，疾病和医疗实践是可能影响治疗反应的两大因素，故也应一并进行分析研判。</w:t>
      </w:r>
    </w:p>
    <w:p w:rsidR="00217415" w:rsidRDefault="008256AB">
      <w:pPr>
        <w:widowControl/>
        <w:adjustRightInd w:val="0"/>
        <w:snapToGrid w:val="0"/>
        <w:spacing w:line="360" w:lineRule="auto"/>
        <w:ind w:firstLineChars="200" w:firstLine="640"/>
        <w:outlineLvl w:val="1"/>
        <w:rPr>
          <w:rFonts w:ascii="楷体_GB2312" w:eastAsia="楷体_GB2312" w:hAnsi="仿宋" w:cs="Arial Unicode MS"/>
          <w:color w:val="000000"/>
          <w:kern w:val="0"/>
          <w:sz w:val="32"/>
          <w:szCs w:val="32"/>
        </w:rPr>
      </w:pPr>
      <w:bookmarkStart w:id="23" w:name="_Toc45633144"/>
      <w:bookmarkStart w:id="24" w:name="_Toc53394225"/>
      <w:r>
        <w:rPr>
          <w:rFonts w:ascii="楷体_GB2312" w:eastAsia="楷体_GB2312" w:hAnsi="仿宋" w:cs="Arial Unicode MS" w:hint="eastAsia"/>
          <w:color w:val="000000"/>
          <w:kern w:val="0"/>
          <w:sz w:val="32"/>
          <w:szCs w:val="32"/>
        </w:rPr>
        <w:t>（四）基于中国患者获益/风险评估进行决策</w:t>
      </w:r>
      <w:bookmarkEnd w:id="23"/>
      <w:bookmarkEnd w:id="24"/>
    </w:p>
    <w:p w:rsidR="00217415" w:rsidRDefault="008256AB">
      <w:pPr>
        <w:widowControl/>
        <w:adjustRightInd w:val="0"/>
        <w:snapToGrid w:val="0"/>
        <w:spacing w:line="360" w:lineRule="auto"/>
        <w:ind w:firstLineChars="200" w:firstLine="640"/>
        <w:rPr>
          <w:rFonts w:ascii="仿宋_GB2312" w:eastAsia="仿宋_GB2312" w:hAnsi="仿宋" w:cs="Times"/>
          <w:color w:val="000000"/>
          <w:kern w:val="0"/>
          <w:sz w:val="32"/>
          <w:szCs w:val="32"/>
        </w:rPr>
      </w:pPr>
      <w:r>
        <w:rPr>
          <w:rFonts w:ascii="仿宋_GB2312" w:eastAsia="仿宋_GB2312" w:hAnsi="仿宋" w:cs="Times" w:hint="eastAsia"/>
          <w:color w:val="000000"/>
          <w:kern w:val="0"/>
          <w:sz w:val="32"/>
          <w:szCs w:val="32"/>
        </w:rPr>
        <w:t>在原研药品的临床研究数据足以支持该药品用于总体人群的获益大于风险的基础上，应基于中国患者与境外人群种族因素影响的数据分析，做出审评决策。如分析数据显示，中国患者治疗反应与总体人群结果一致，则可支持其上市。如存在差异，则需基于相关研究数据评估差异对中国患者用药的安全性和有效性是否产生影响，产生影响的，应进一步评估申请人是否进行了针对性研究并采取了必要的措施，</w:t>
      </w:r>
      <w:r>
        <w:rPr>
          <w:rFonts w:ascii="仿宋_GB2312" w:eastAsia="仿宋_GB2312" w:hAnsi="仿宋" w:cs="Times"/>
          <w:color w:val="000000"/>
          <w:kern w:val="0"/>
          <w:sz w:val="32"/>
          <w:szCs w:val="32"/>
        </w:rPr>
        <w:t>包括</w:t>
      </w:r>
      <w:r>
        <w:rPr>
          <w:rFonts w:ascii="仿宋_GB2312" w:eastAsia="仿宋_GB2312" w:hAnsi="仿宋" w:cs="Times" w:hint="eastAsia"/>
          <w:color w:val="000000"/>
          <w:kern w:val="0"/>
          <w:sz w:val="32"/>
          <w:szCs w:val="32"/>
        </w:rPr>
        <w:t>：种族因素相关的用法用量调整、禁忌或注意事项内容的增加等，以支持其用于中国患者。在进行</w:t>
      </w:r>
      <w:r>
        <w:rPr>
          <w:rFonts w:ascii="仿宋_GB2312" w:eastAsia="仿宋_GB2312" w:hAnsi="仿宋" w:cs="Times"/>
          <w:color w:val="000000"/>
          <w:kern w:val="0"/>
          <w:sz w:val="32"/>
          <w:szCs w:val="32"/>
        </w:rPr>
        <w:t>了针对性研究并</w:t>
      </w:r>
      <w:r>
        <w:rPr>
          <w:rFonts w:ascii="仿宋_GB2312" w:eastAsia="仿宋_GB2312" w:hAnsi="仿宋" w:cs="Times" w:hint="eastAsia"/>
          <w:color w:val="000000"/>
          <w:kern w:val="0"/>
          <w:sz w:val="32"/>
          <w:szCs w:val="32"/>
        </w:rPr>
        <w:t>采取了必要的措施后，</w:t>
      </w:r>
      <w:r>
        <w:rPr>
          <w:rFonts w:ascii="仿宋_GB2312" w:eastAsia="仿宋_GB2312" w:hAnsi="仿宋" w:cs="Times"/>
          <w:color w:val="000000"/>
          <w:kern w:val="0"/>
          <w:sz w:val="32"/>
          <w:szCs w:val="32"/>
        </w:rPr>
        <w:t>如</w:t>
      </w:r>
      <w:r>
        <w:rPr>
          <w:rFonts w:ascii="仿宋_GB2312" w:eastAsia="仿宋_GB2312" w:hAnsi="仿宋" w:cs="Times" w:hint="eastAsia"/>
          <w:color w:val="000000"/>
          <w:kern w:val="0"/>
          <w:sz w:val="32"/>
          <w:szCs w:val="32"/>
        </w:rPr>
        <w:t>该药用于中国患者的获益大于风险，则可支持其上市。</w:t>
      </w:r>
    </w:p>
    <w:p w:rsidR="00217415" w:rsidRDefault="008256AB">
      <w:pPr>
        <w:widowControl/>
        <w:adjustRightInd w:val="0"/>
        <w:snapToGrid w:val="0"/>
        <w:spacing w:line="360" w:lineRule="auto"/>
        <w:ind w:firstLineChars="200" w:firstLine="640"/>
        <w:outlineLvl w:val="0"/>
        <w:rPr>
          <w:rFonts w:ascii="黑体" w:eastAsia="黑体" w:hAnsi="黑体" w:cs="Times"/>
          <w:color w:val="000000"/>
          <w:kern w:val="0"/>
          <w:sz w:val="32"/>
          <w:szCs w:val="32"/>
        </w:rPr>
      </w:pPr>
      <w:bookmarkStart w:id="25" w:name="_Toc45633145"/>
      <w:bookmarkStart w:id="26" w:name="_Toc53394226"/>
      <w:r>
        <w:rPr>
          <w:rFonts w:ascii="黑体" w:eastAsia="黑体" w:hAnsi="黑体" w:cs="Times" w:hint="eastAsia"/>
          <w:color w:val="000000"/>
          <w:kern w:val="0"/>
          <w:sz w:val="32"/>
          <w:szCs w:val="32"/>
        </w:rPr>
        <w:t>五、临床试验要求</w:t>
      </w:r>
      <w:bookmarkEnd w:id="25"/>
      <w:bookmarkEnd w:id="26"/>
    </w:p>
    <w:p w:rsidR="00217415" w:rsidRDefault="008256AB">
      <w:pPr>
        <w:widowControl/>
        <w:adjustRightInd w:val="0"/>
        <w:snapToGrid w:val="0"/>
        <w:spacing w:line="360" w:lineRule="auto"/>
        <w:ind w:firstLineChars="200" w:firstLine="640"/>
        <w:rPr>
          <w:rFonts w:ascii="仿宋_GB2312" w:eastAsia="仿宋_GB2312" w:hAnsi="仿宋" w:cs="Times"/>
          <w:color w:val="000000"/>
          <w:kern w:val="0"/>
          <w:sz w:val="32"/>
          <w:szCs w:val="32"/>
        </w:rPr>
      </w:pPr>
      <w:r>
        <w:rPr>
          <w:rFonts w:ascii="仿宋_GB2312" w:eastAsia="仿宋_GB2312" w:hAnsi="仿宋" w:cs="Times" w:hint="eastAsia"/>
          <w:color w:val="000000"/>
          <w:kern w:val="0"/>
          <w:sz w:val="32"/>
          <w:szCs w:val="32"/>
        </w:rPr>
        <w:t>对于境外已上市境内未上市的药品，需结合药品具体情况，按照临床评价的基本逻辑对原研药品的临床研究数据进行充分评价，根据评价结果确定临床试验要求。对于不同研发背景的药品，其所需开展的临床试验应具体问题具体分析。</w:t>
      </w:r>
    </w:p>
    <w:p w:rsidR="00217415" w:rsidRDefault="008256AB">
      <w:pPr>
        <w:widowControl/>
        <w:adjustRightInd w:val="0"/>
        <w:snapToGrid w:val="0"/>
        <w:spacing w:line="360" w:lineRule="auto"/>
        <w:ind w:firstLineChars="200" w:firstLine="640"/>
        <w:outlineLvl w:val="1"/>
        <w:rPr>
          <w:rFonts w:ascii="楷体_GB2312" w:eastAsia="楷体_GB2312" w:hAnsi="仿宋" w:cs="Times"/>
          <w:color w:val="000000"/>
          <w:kern w:val="0"/>
          <w:sz w:val="32"/>
          <w:szCs w:val="32"/>
        </w:rPr>
      </w:pPr>
      <w:bookmarkStart w:id="27" w:name="_Toc45633146"/>
      <w:bookmarkStart w:id="28" w:name="_Toc53394227"/>
      <w:r>
        <w:rPr>
          <w:rFonts w:ascii="楷体_GB2312" w:eastAsia="楷体_GB2312" w:hAnsi="仿宋" w:cs="Times" w:hint="eastAsia"/>
          <w:color w:val="000000"/>
          <w:kern w:val="0"/>
          <w:sz w:val="32"/>
          <w:szCs w:val="32"/>
        </w:rPr>
        <w:lastRenderedPageBreak/>
        <w:t>（一）境外原研药品</w:t>
      </w:r>
      <w:bookmarkEnd w:id="27"/>
      <w:bookmarkEnd w:id="28"/>
    </w:p>
    <w:p w:rsidR="00217415" w:rsidRDefault="008256AB">
      <w:pPr>
        <w:widowControl/>
        <w:adjustRightInd w:val="0"/>
        <w:snapToGrid w:val="0"/>
        <w:spacing w:line="360" w:lineRule="auto"/>
        <w:ind w:firstLineChars="200" w:firstLine="640"/>
        <w:rPr>
          <w:rFonts w:ascii="仿宋_GB2312" w:eastAsia="仿宋_GB2312" w:hAnsi="仿宋" w:cs="Times"/>
          <w:color w:val="000000"/>
          <w:kern w:val="0"/>
          <w:sz w:val="32"/>
          <w:szCs w:val="32"/>
        </w:rPr>
      </w:pPr>
      <w:r>
        <w:rPr>
          <w:rFonts w:ascii="仿宋_GB2312" w:eastAsia="仿宋_GB2312" w:hAnsi="仿宋" w:cs="Times" w:hint="eastAsia"/>
          <w:color w:val="000000"/>
          <w:kern w:val="0"/>
          <w:sz w:val="32"/>
          <w:szCs w:val="32"/>
        </w:rPr>
        <w:t>鼓励境外原研药品自临床早期研发阶段即在中国同步开展临床试验,如以国际多中心临床研究的方式，在相同临床试验设计和实施条件下，对中国患者人群和境外患者人群同步开展人体PK、PD、PK/PD、有效性和安全性等系统临床试验。这些系统临床试验将有助于获得种族因素影响相关的完整证据链的直接证据，有助于在总体人群安全性和有效性评价的基础上，进一步比较分析中国患者人群与全球总体人群在剂量-暴露-效应关系、有效性和安全性等方面是否存在差异以及差异的大小，有助于在发现差异时进行综合评估，全面权衡药品用于中国患者临床获益/风险，进而支持其上市申请。研究设计应遵循ICH相关指导原则（如 ICHE5和ICHE17）的建议。</w:t>
      </w:r>
    </w:p>
    <w:p w:rsidR="00217415" w:rsidRDefault="008256AB">
      <w:pPr>
        <w:widowControl/>
        <w:adjustRightInd w:val="0"/>
        <w:snapToGrid w:val="0"/>
        <w:spacing w:line="360" w:lineRule="auto"/>
        <w:ind w:firstLineChars="200" w:firstLine="640"/>
        <w:rPr>
          <w:rFonts w:ascii="仿宋_GB2312" w:eastAsia="仿宋_GB2312" w:hAnsi="仿宋" w:cs="Times"/>
          <w:color w:val="000000"/>
          <w:kern w:val="0"/>
          <w:sz w:val="32"/>
          <w:szCs w:val="32"/>
        </w:rPr>
      </w:pPr>
      <w:r>
        <w:rPr>
          <w:rFonts w:ascii="仿宋_GB2312" w:eastAsia="仿宋_GB2312" w:hAnsi="仿宋" w:cs="Times" w:hint="eastAsia"/>
          <w:color w:val="000000"/>
          <w:kern w:val="0"/>
          <w:sz w:val="32"/>
          <w:szCs w:val="32"/>
        </w:rPr>
        <w:t>不同境外申请人对于原研药品的全球临床研发策略不同，导致其在递交申报资料时临床试验数据的内容和支持性程度不同，故应按照临床评价的基本逻辑，根据中国患者临床需求、已完成临床试验的研究数据、种族因素影响分析结果等，确定对境外原研药品的临床试验要求。</w:t>
      </w:r>
    </w:p>
    <w:p w:rsidR="00217415" w:rsidRDefault="008256AB">
      <w:pPr>
        <w:widowControl/>
        <w:adjustRightInd w:val="0"/>
        <w:snapToGrid w:val="0"/>
        <w:spacing w:line="360" w:lineRule="auto"/>
        <w:ind w:firstLineChars="200" w:firstLine="640"/>
        <w:rPr>
          <w:rFonts w:ascii="仿宋_GB2312" w:eastAsia="仿宋_GB2312" w:hAnsi="仿宋" w:cs="Times"/>
          <w:color w:val="000000"/>
          <w:kern w:val="0"/>
          <w:sz w:val="32"/>
          <w:szCs w:val="32"/>
        </w:rPr>
      </w:pPr>
      <w:r>
        <w:rPr>
          <w:rFonts w:ascii="仿宋_GB2312" w:eastAsia="仿宋_GB2312" w:hAnsi="仿宋" w:cs="Times" w:hint="eastAsia"/>
          <w:color w:val="000000"/>
          <w:kern w:val="0"/>
          <w:sz w:val="32"/>
          <w:szCs w:val="32"/>
        </w:rPr>
        <w:t>临床试验要求主要包括以下3种情形：</w:t>
      </w:r>
    </w:p>
    <w:p w:rsidR="00217415" w:rsidRDefault="008256AB">
      <w:pPr>
        <w:widowControl/>
        <w:adjustRightInd w:val="0"/>
        <w:snapToGrid w:val="0"/>
        <w:spacing w:line="360" w:lineRule="auto"/>
        <w:ind w:firstLineChars="200" w:firstLine="640"/>
        <w:outlineLvl w:val="2"/>
        <w:rPr>
          <w:rFonts w:ascii="仿宋_GB2312" w:eastAsia="仿宋_GB2312" w:hAnsi="仿宋" w:cs="Times"/>
          <w:color w:val="000000"/>
          <w:kern w:val="0"/>
          <w:sz w:val="32"/>
          <w:szCs w:val="32"/>
        </w:rPr>
      </w:pPr>
      <w:bookmarkStart w:id="29" w:name="_Toc45633147"/>
      <w:bookmarkStart w:id="30" w:name="_Toc53394228"/>
      <w:r>
        <w:rPr>
          <w:rFonts w:ascii="仿宋_GB2312" w:eastAsia="仿宋_GB2312" w:hAnsi="仿宋" w:cs="Times" w:hint="eastAsia"/>
          <w:color w:val="000000"/>
          <w:kern w:val="0"/>
          <w:sz w:val="32"/>
          <w:szCs w:val="32"/>
        </w:rPr>
        <w:t>1.安全有效且无种族敏感性</w:t>
      </w:r>
      <w:bookmarkEnd w:id="29"/>
      <w:bookmarkEnd w:id="30"/>
    </w:p>
    <w:p w:rsidR="00217415" w:rsidRDefault="008256AB">
      <w:pPr>
        <w:widowControl/>
        <w:adjustRightInd w:val="0"/>
        <w:snapToGrid w:val="0"/>
        <w:spacing w:line="360" w:lineRule="auto"/>
        <w:ind w:firstLineChars="200" w:firstLine="640"/>
        <w:rPr>
          <w:rFonts w:ascii="仿宋_GB2312" w:eastAsia="仿宋_GB2312" w:hAnsi="仿宋" w:cs="Times"/>
          <w:color w:val="000000"/>
          <w:kern w:val="0"/>
          <w:sz w:val="32"/>
          <w:szCs w:val="32"/>
        </w:rPr>
      </w:pPr>
      <w:r>
        <w:rPr>
          <w:rFonts w:ascii="仿宋_GB2312" w:eastAsia="仿宋_GB2312" w:hAnsi="仿宋" w:cs="Times" w:hint="eastAsia"/>
          <w:color w:val="000000"/>
          <w:kern w:val="0"/>
          <w:sz w:val="32"/>
          <w:szCs w:val="32"/>
        </w:rPr>
        <w:t>经评估，该药品安全有效且无种族敏感性的，可考虑豁免境内临床试验。</w:t>
      </w:r>
    </w:p>
    <w:p w:rsidR="00217415" w:rsidRDefault="008256AB">
      <w:pPr>
        <w:widowControl/>
        <w:adjustRightInd w:val="0"/>
        <w:snapToGrid w:val="0"/>
        <w:spacing w:line="360" w:lineRule="auto"/>
        <w:ind w:firstLineChars="200" w:firstLine="640"/>
        <w:rPr>
          <w:rFonts w:ascii="仿宋_GB2312" w:eastAsia="仿宋_GB2312" w:hAnsi="仿宋" w:cs="Times"/>
          <w:color w:val="000000"/>
          <w:kern w:val="0"/>
          <w:sz w:val="32"/>
          <w:szCs w:val="32"/>
        </w:rPr>
      </w:pPr>
      <w:r>
        <w:rPr>
          <w:rFonts w:ascii="仿宋_GB2312" w:eastAsia="仿宋_GB2312" w:hAnsi="仿宋" w:cs="Times" w:hint="eastAsia"/>
          <w:color w:val="000000"/>
          <w:kern w:val="0"/>
          <w:sz w:val="32"/>
          <w:szCs w:val="32"/>
        </w:rPr>
        <w:lastRenderedPageBreak/>
        <w:t>对于全球数据中已有中国人群PK、和/或PD、有效性和安全性数据，经分析认为其用于中国患者的获益大于风险的，相关境内外临床试验数据可直接用于支持上市申请。</w:t>
      </w:r>
    </w:p>
    <w:p w:rsidR="00217415" w:rsidRDefault="008256AB">
      <w:pPr>
        <w:widowControl/>
        <w:adjustRightInd w:val="0"/>
        <w:snapToGrid w:val="0"/>
        <w:spacing w:line="360" w:lineRule="auto"/>
        <w:ind w:firstLineChars="200" w:firstLine="640"/>
        <w:rPr>
          <w:rFonts w:ascii="仿宋_GB2312" w:eastAsia="仿宋_GB2312" w:hAnsi="仿宋" w:cs="Times"/>
          <w:color w:val="000000"/>
          <w:kern w:val="0"/>
          <w:sz w:val="32"/>
          <w:szCs w:val="32"/>
        </w:rPr>
      </w:pPr>
      <w:r>
        <w:rPr>
          <w:rFonts w:ascii="仿宋_GB2312" w:eastAsia="仿宋_GB2312" w:hAnsi="仿宋" w:cs="Times" w:hint="eastAsia"/>
          <w:color w:val="000000"/>
          <w:kern w:val="0"/>
          <w:sz w:val="32"/>
          <w:szCs w:val="32"/>
        </w:rPr>
        <w:t>对于全球数据中没有中国人群相关数据，但有较充分的种族因素相关研究和分析数据且未见明显种族因素影响的药品，应具体问题具体分析：（1）用于严重或危及生命疾病、罕见病且无有效治疗手段的药品，或用于此类疾病且较现有治疗手段具有明显提高疗效或安全性等优势的药品，可考虑在严格风险控制的前提下批准上市，并应开展上市后有效性和安全性临床试验以支持药品全生命周期获益/风险评估。（2）对于较现有治疗手段未见明显临床优势的药品，应参考“五（一）2”项相关要求进行临床试验。</w:t>
      </w:r>
    </w:p>
    <w:p w:rsidR="00217415" w:rsidRDefault="008256AB">
      <w:pPr>
        <w:widowControl/>
        <w:adjustRightInd w:val="0"/>
        <w:snapToGrid w:val="0"/>
        <w:spacing w:line="360" w:lineRule="auto"/>
        <w:ind w:firstLineChars="200" w:firstLine="640"/>
        <w:rPr>
          <w:rFonts w:ascii="仿宋_GB2312" w:eastAsia="仿宋_GB2312" w:hAnsi="仿宋" w:cs="Times"/>
          <w:color w:val="000000"/>
          <w:kern w:val="0"/>
          <w:sz w:val="32"/>
          <w:szCs w:val="32"/>
        </w:rPr>
      </w:pPr>
      <w:r>
        <w:rPr>
          <w:rFonts w:ascii="仿宋_GB2312" w:eastAsia="仿宋_GB2312" w:hAnsi="仿宋" w:cs="Times" w:hint="eastAsia"/>
          <w:color w:val="000000"/>
          <w:kern w:val="0"/>
          <w:sz w:val="32"/>
          <w:szCs w:val="32"/>
        </w:rPr>
        <w:t>对于境内已上市药品增加境外已批准境内未批准的新剂型（有临床优势的）、新给药途径、新用法用量，用于境内已上市药品已批准适应症的情形，以及境外已上市境内未上市新复方药品中各单药均已在境内上市的情形，在同时满足以下条件时，可考虑基于境外临床试验数据评价情况，减或免临床试验：①已上市原研药品完成的临床试验数据显示，该药品用于中国患者的获益大于风险，且与境外人群数据相比未见明显种族因素的影响；②递交的该药物新剂型、新给药途径、新用法用量，或新复方的境外临床试验数据可用于充分评价其安全性和有效性。</w:t>
      </w:r>
    </w:p>
    <w:p w:rsidR="00217415" w:rsidRDefault="008256AB">
      <w:pPr>
        <w:widowControl/>
        <w:adjustRightInd w:val="0"/>
        <w:snapToGrid w:val="0"/>
        <w:spacing w:line="360" w:lineRule="auto"/>
        <w:ind w:firstLineChars="200" w:firstLine="640"/>
        <w:rPr>
          <w:rFonts w:ascii="仿宋_GB2312" w:eastAsia="仿宋_GB2312" w:hAnsi="仿宋" w:cs="Times"/>
          <w:color w:val="000000"/>
          <w:kern w:val="0"/>
          <w:sz w:val="32"/>
          <w:szCs w:val="32"/>
        </w:rPr>
      </w:pPr>
      <w:r>
        <w:rPr>
          <w:rFonts w:ascii="仿宋_GB2312" w:eastAsia="仿宋_GB2312" w:hAnsi="仿宋" w:cs="Times" w:hint="eastAsia"/>
          <w:color w:val="000000"/>
          <w:kern w:val="0"/>
          <w:sz w:val="32"/>
          <w:szCs w:val="32"/>
        </w:rPr>
        <w:lastRenderedPageBreak/>
        <w:t>对于境内已上市药品增加境外已批准境内未批准的新适应症的情形，除应遵循上述临床评价基本逻辑和临床试验要求外，因涉及疾病和药物等多维度复杂因素，应具体问题具体分析，建议申报前与监管机构进行沟通。</w:t>
      </w:r>
    </w:p>
    <w:p w:rsidR="00217415" w:rsidRDefault="008256AB">
      <w:pPr>
        <w:widowControl/>
        <w:adjustRightInd w:val="0"/>
        <w:snapToGrid w:val="0"/>
        <w:spacing w:line="360" w:lineRule="auto"/>
        <w:ind w:firstLineChars="200" w:firstLine="640"/>
        <w:outlineLvl w:val="2"/>
        <w:rPr>
          <w:rFonts w:ascii="仿宋_GB2312" w:eastAsia="仿宋_GB2312" w:hAnsi="仿宋" w:cs="Times"/>
          <w:color w:val="000000"/>
          <w:kern w:val="0"/>
          <w:sz w:val="32"/>
          <w:szCs w:val="32"/>
        </w:rPr>
      </w:pPr>
      <w:bookmarkStart w:id="31" w:name="_Toc45633148"/>
      <w:bookmarkStart w:id="32" w:name="_Toc53394229"/>
      <w:r>
        <w:rPr>
          <w:rFonts w:ascii="仿宋_GB2312" w:eastAsia="仿宋_GB2312" w:hAnsi="仿宋" w:cs="Times" w:hint="eastAsia"/>
          <w:color w:val="000000"/>
          <w:kern w:val="0"/>
          <w:sz w:val="32"/>
          <w:szCs w:val="32"/>
        </w:rPr>
        <w:t>2.安全有效但缺乏种族敏感性数据或存在种族敏感性</w:t>
      </w:r>
      <w:bookmarkEnd w:id="31"/>
      <w:bookmarkEnd w:id="32"/>
    </w:p>
    <w:p w:rsidR="00217415" w:rsidRDefault="008256AB">
      <w:pPr>
        <w:widowControl/>
        <w:adjustRightInd w:val="0"/>
        <w:snapToGrid w:val="0"/>
        <w:spacing w:line="360" w:lineRule="auto"/>
        <w:ind w:firstLineChars="200" w:firstLine="640"/>
        <w:rPr>
          <w:rFonts w:ascii="仿宋_GB2312" w:eastAsia="仿宋_GB2312" w:hAnsi="仿宋" w:cs="Times"/>
          <w:color w:val="000000"/>
          <w:kern w:val="0"/>
          <w:sz w:val="32"/>
          <w:szCs w:val="32"/>
        </w:rPr>
      </w:pPr>
      <w:r>
        <w:rPr>
          <w:rFonts w:ascii="仿宋_GB2312" w:eastAsia="仿宋_GB2312" w:hAnsi="仿宋" w:cs="Times" w:hint="eastAsia"/>
          <w:color w:val="000000"/>
          <w:kern w:val="0"/>
          <w:sz w:val="32"/>
          <w:szCs w:val="32"/>
        </w:rPr>
        <w:t>经评估，该药品安全有效但缺乏种族敏感性数据或已有数据提示存在种族敏感性的，应开展相关桥接性临床试验。</w:t>
      </w:r>
    </w:p>
    <w:p w:rsidR="00217415" w:rsidRDefault="008256AB">
      <w:pPr>
        <w:widowControl/>
        <w:adjustRightInd w:val="0"/>
        <w:snapToGrid w:val="0"/>
        <w:spacing w:line="360" w:lineRule="auto"/>
        <w:ind w:firstLineChars="200" w:firstLine="640"/>
        <w:rPr>
          <w:rFonts w:ascii="仿宋_GB2312" w:eastAsia="仿宋_GB2312" w:hAnsi="仿宋" w:cs="Times"/>
          <w:color w:val="000000"/>
          <w:kern w:val="0"/>
          <w:sz w:val="32"/>
          <w:szCs w:val="32"/>
        </w:rPr>
      </w:pPr>
      <w:r>
        <w:rPr>
          <w:rFonts w:ascii="仿宋_GB2312" w:eastAsia="仿宋_GB2312" w:hAnsi="仿宋" w:cs="Times" w:hint="eastAsia"/>
          <w:color w:val="000000"/>
          <w:kern w:val="0"/>
          <w:sz w:val="32"/>
          <w:szCs w:val="32"/>
        </w:rPr>
        <w:t>全球数据缺乏种族因素影响相关研究和数据的，应开展必要的PK，和/或PD，有效性和安全性研究，以支持该药品上市申请。</w:t>
      </w:r>
    </w:p>
    <w:p w:rsidR="00217415" w:rsidRDefault="008256AB">
      <w:pPr>
        <w:widowControl/>
        <w:adjustRightInd w:val="0"/>
        <w:snapToGrid w:val="0"/>
        <w:spacing w:line="360" w:lineRule="auto"/>
        <w:ind w:firstLineChars="200" w:firstLine="640"/>
        <w:rPr>
          <w:rFonts w:ascii="仿宋_GB2312" w:eastAsia="仿宋_GB2312" w:hAnsi="仿宋" w:cs="Times"/>
          <w:color w:val="000000"/>
          <w:kern w:val="0"/>
          <w:sz w:val="32"/>
          <w:szCs w:val="32"/>
        </w:rPr>
      </w:pPr>
      <w:r>
        <w:rPr>
          <w:rFonts w:ascii="仿宋_GB2312" w:eastAsia="仿宋_GB2312" w:hAnsi="仿宋" w:cs="Times" w:hint="eastAsia"/>
          <w:color w:val="000000"/>
          <w:kern w:val="0"/>
          <w:sz w:val="32"/>
          <w:szCs w:val="32"/>
        </w:rPr>
        <w:t>全球数据显示种族因素对安全有效性评价存在影响的，应开展必要的临床试验（包括剂量探索等），以支持该药品的上市申请。</w:t>
      </w:r>
    </w:p>
    <w:p w:rsidR="00217415" w:rsidRDefault="008256AB">
      <w:pPr>
        <w:widowControl/>
        <w:adjustRightInd w:val="0"/>
        <w:snapToGrid w:val="0"/>
        <w:spacing w:line="360" w:lineRule="auto"/>
        <w:ind w:firstLineChars="200" w:firstLine="640"/>
        <w:outlineLvl w:val="2"/>
        <w:rPr>
          <w:rFonts w:ascii="仿宋_GB2312" w:eastAsia="仿宋_GB2312" w:hAnsi="仿宋" w:cs="Times"/>
          <w:color w:val="000000"/>
          <w:kern w:val="0"/>
          <w:sz w:val="32"/>
          <w:szCs w:val="32"/>
        </w:rPr>
      </w:pPr>
      <w:bookmarkStart w:id="33" w:name="_Toc45633149"/>
      <w:bookmarkStart w:id="34" w:name="_Toc53394230"/>
      <w:r>
        <w:rPr>
          <w:rFonts w:ascii="仿宋_GB2312" w:eastAsia="仿宋_GB2312" w:hAnsi="仿宋" w:cs="Times" w:hint="eastAsia"/>
          <w:color w:val="000000"/>
          <w:kern w:val="0"/>
          <w:sz w:val="32"/>
          <w:szCs w:val="32"/>
        </w:rPr>
        <w:t>3.安全有效性数据不充分</w:t>
      </w:r>
      <w:bookmarkEnd w:id="33"/>
      <w:bookmarkEnd w:id="34"/>
    </w:p>
    <w:p w:rsidR="00217415" w:rsidRDefault="008256AB">
      <w:pPr>
        <w:widowControl/>
        <w:adjustRightInd w:val="0"/>
        <w:snapToGrid w:val="0"/>
        <w:spacing w:line="360" w:lineRule="auto"/>
        <w:ind w:firstLineChars="200" w:firstLine="640"/>
        <w:rPr>
          <w:rFonts w:ascii="仿宋_GB2312" w:eastAsia="仿宋_GB2312" w:hAnsi="仿宋" w:cs="Times"/>
          <w:color w:val="000000"/>
          <w:kern w:val="0"/>
          <w:sz w:val="32"/>
          <w:szCs w:val="32"/>
        </w:rPr>
      </w:pPr>
      <w:r>
        <w:rPr>
          <w:rFonts w:ascii="仿宋_GB2312" w:eastAsia="仿宋_GB2312" w:hAnsi="仿宋" w:cs="Times" w:hint="eastAsia"/>
          <w:color w:val="000000"/>
          <w:kern w:val="0"/>
          <w:sz w:val="32"/>
          <w:szCs w:val="32"/>
        </w:rPr>
        <w:t>经评估，该药品安全有效性数据不充分的，申请人应慎重研发，如拟继续研发，应按新药要求开展必要的探索性和确证性临床试验。</w:t>
      </w:r>
    </w:p>
    <w:p w:rsidR="00217415" w:rsidRDefault="008256AB">
      <w:pPr>
        <w:widowControl/>
        <w:adjustRightInd w:val="0"/>
        <w:snapToGrid w:val="0"/>
        <w:spacing w:line="360" w:lineRule="auto"/>
        <w:ind w:firstLineChars="200" w:firstLine="640"/>
        <w:outlineLvl w:val="2"/>
        <w:rPr>
          <w:rFonts w:ascii="仿宋_GB2312" w:eastAsia="仿宋_GB2312" w:hAnsi="仿宋" w:cs="Times"/>
          <w:color w:val="000000"/>
          <w:kern w:val="0"/>
          <w:sz w:val="32"/>
          <w:szCs w:val="32"/>
        </w:rPr>
      </w:pPr>
      <w:bookmarkStart w:id="35" w:name="_Toc53394231"/>
      <w:r>
        <w:rPr>
          <w:rFonts w:ascii="仿宋_GB2312" w:eastAsia="仿宋_GB2312" w:hAnsi="仿宋" w:cs="Times" w:hint="eastAsia"/>
          <w:color w:val="000000"/>
          <w:kern w:val="0"/>
          <w:sz w:val="32"/>
          <w:szCs w:val="32"/>
        </w:rPr>
        <w:t>4.临床数据显示无效或存在安全性问题</w:t>
      </w:r>
      <w:bookmarkEnd w:id="35"/>
    </w:p>
    <w:p w:rsidR="00217415" w:rsidRDefault="008256AB">
      <w:pPr>
        <w:widowControl/>
        <w:adjustRightInd w:val="0"/>
        <w:snapToGrid w:val="0"/>
        <w:spacing w:line="360" w:lineRule="auto"/>
        <w:ind w:firstLineChars="200" w:firstLine="640"/>
        <w:rPr>
          <w:rFonts w:ascii="仿宋_GB2312" w:eastAsia="仿宋_GB2312" w:hAnsi="仿宋" w:cs="Times"/>
          <w:color w:val="000000"/>
          <w:kern w:val="0"/>
          <w:sz w:val="32"/>
          <w:szCs w:val="32"/>
        </w:rPr>
      </w:pPr>
      <w:r>
        <w:rPr>
          <w:rFonts w:ascii="仿宋_GB2312" w:eastAsia="仿宋_GB2312" w:hAnsi="仿宋" w:cs="Times" w:hint="eastAsia"/>
          <w:color w:val="000000"/>
          <w:kern w:val="0"/>
          <w:sz w:val="32"/>
          <w:szCs w:val="32"/>
        </w:rPr>
        <w:t>如有充分证据证明该药品无效或存在严重安全性问题的，则不建议其在中国开展临床试验。</w:t>
      </w:r>
    </w:p>
    <w:p w:rsidR="00217415" w:rsidRDefault="008256AB">
      <w:pPr>
        <w:widowControl/>
        <w:adjustRightInd w:val="0"/>
        <w:snapToGrid w:val="0"/>
        <w:spacing w:line="360" w:lineRule="auto"/>
        <w:ind w:firstLineChars="200" w:firstLine="640"/>
        <w:outlineLvl w:val="1"/>
        <w:rPr>
          <w:rFonts w:ascii="楷体_GB2312" w:eastAsia="楷体_GB2312" w:hAnsi="仿宋" w:cs="Times"/>
          <w:color w:val="000000"/>
          <w:kern w:val="0"/>
          <w:sz w:val="32"/>
          <w:szCs w:val="32"/>
          <w:lang w:val="zh-CN"/>
        </w:rPr>
      </w:pPr>
      <w:bookmarkStart w:id="36" w:name="_Toc45633150"/>
      <w:bookmarkStart w:id="37" w:name="_Toc53394232"/>
      <w:r>
        <w:rPr>
          <w:rFonts w:ascii="楷体_GB2312" w:eastAsia="楷体_GB2312" w:hAnsi="仿宋" w:cs="Times" w:hint="eastAsia"/>
          <w:color w:val="000000"/>
          <w:kern w:val="0"/>
          <w:sz w:val="32"/>
          <w:szCs w:val="32"/>
          <w:lang w:val="zh-CN"/>
        </w:rPr>
        <w:t>（二）境内外仿制药品</w:t>
      </w:r>
      <w:bookmarkEnd w:id="36"/>
      <w:bookmarkEnd w:id="37"/>
    </w:p>
    <w:p w:rsidR="00217415" w:rsidRDefault="008256AB">
      <w:pPr>
        <w:widowControl/>
        <w:adjustRightInd w:val="0"/>
        <w:snapToGrid w:val="0"/>
        <w:spacing w:line="360" w:lineRule="auto"/>
        <w:ind w:firstLineChars="200" w:firstLine="640"/>
        <w:rPr>
          <w:rFonts w:ascii="楷体_GB2312" w:eastAsia="楷体_GB2312" w:hAnsi="仿宋" w:cs="Times"/>
          <w:color w:val="000000"/>
          <w:kern w:val="0"/>
          <w:sz w:val="32"/>
          <w:szCs w:val="32"/>
          <w:lang w:val="zh-CN"/>
        </w:rPr>
      </w:pPr>
      <w:r>
        <w:rPr>
          <w:rFonts w:ascii="仿宋_GB2312" w:eastAsia="仿宋_GB2312" w:hAnsi="仿宋" w:cs="Times" w:hint="eastAsia"/>
          <w:color w:val="000000"/>
          <w:kern w:val="0"/>
          <w:sz w:val="32"/>
          <w:szCs w:val="32"/>
        </w:rPr>
        <w:lastRenderedPageBreak/>
        <w:t>对于境外已上市境内未上市药品的仿制药的临床试验要求，需结合原研药品临床评价结果及制剂学两个方面的因素综合考虑后确定。</w:t>
      </w:r>
    </w:p>
    <w:p w:rsidR="00217415" w:rsidRDefault="008256AB">
      <w:pPr>
        <w:widowControl/>
        <w:adjustRightInd w:val="0"/>
        <w:snapToGrid w:val="0"/>
        <w:spacing w:line="360" w:lineRule="auto"/>
        <w:ind w:firstLineChars="200" w:firstLine="640"/>
        <w:outlineLvl w:val="2"/>
        <w:rPr>
          <w:rFonts w:ascii="楷体_GB2312" w:eastAsia="楷体_GB2312" w:hAnsi="仿宋" w:cs="Times"/>
          <w:color w:val="000000"/>
          <w:kern w:val="0"/>
          <w:sz w:val="32"/>
          <w:szCs w:val="32"/>
          <w:lang w:val="zh-CN"/>
        </w:rPr>
      </w:pPr>
      <w:bookmarkStart w:id="38" w:name="_Toc53394233"/>
      <w:r>
        <w:rPr>
          <w:rFonts w:ascii="仿宋_GB2312" w:eastAsia="仿宋_GB2312" w:hAnsi="仿宋" w:cs="Arial Unicode MS" w:hint="eastAsia"/>
          <w:color w:val="000000"/>
          <w:kern w:val="0"/>
          <w:sz w:val="32"/>
          <w:szCs w:val="32"/>
          <w:lang w:val="zh-CN"/>
        </w:rPr>
        <w:t>1.基于临床评价结果的考虑</w:t>
      </w:r>
      <w:bookmarkEnd w:id="38"/>
    </w:p>
    <w:p w:rsidR="00217415" w:rsidRDefault="008256AB">
      <w:pPr>
        <w:widowControl/>
        <w:adjustRightInd w:val="0"/>
        <w:snapToGrid w:val="0"/>
        <w:spacing w:line="360" w:lineRule="auto"/>
        <w:ind w:firstLineChars="200" w:firstLine="640"/>
        <w:rPr>
          <w:rFonts w:ascii="仿宋_GB2312" w:eastAsia="仿宋_GB2312" w:hAnsi="仿宋" w:cs="Times"/>
          <w:color w:val="000000"/>
          <w:kern w:val="0"/>
          <w:sz w:val="32"/>
          <w:szCs w:val="32"/>
        </w:rPr>
      </w:pPr>
      <w:r>
        <w:rPr>
          <w:rFonts w:ascii="仿宋_GB2312" w:eastAsia="仿宋_GB2312" w:hAnsi="仿宋" w:cs="Times" w:hint="eastAsia"/>
          <w:color w:val="000000"/>
          <w:kern w:val="0"/>
          <w:sz w:val="32"/>
          <w:szCs w:val="32"/>
        </w:rPr>
        <w:t>基于原研药品临床评价结果，开展必要的中国患者人群临床试验的要求与原研药品一致（详见五（一））。由于难以获得原研药品完整临床试验数据，可能影响对原研药品进行充分临床评价，故通常需开展必要的临床试验以支持仿制药用于中国患者的安全性和有效性评价。</w:t>
      </w:r>
    </w:p>
    <w:p w:rsidR="00217415" w:rsidRDefault="008256AB">
      <w:pPr>
        <w:widowControl/>
        <w:adjustRightInd w:val="0"/>
        <w:snapToGrid w:val="0"/>
        <w:spacing w:line="360" w:lineRule="auto"/>
        <w:ind w:firstLineChars="200" w:firstLine="640"/>
        <w:outlineLvl w:val="2"/>
        <w:rPr>
          <w:rFonts w:ascii="仿宋_GB2312" w:eastAsia="仿宋_GB2312" w:hAnsi="仿宋" w:cs="Arial Unicode MS"/>
          <w:color w:val="000000"/>
          <w:kern w:val="0"/>
          <w:sz w:val="32"/>
          <w:szCs w:val="32"/>
          <w:lang w:val="zh-CN"/>
        </w:rPr>
      </w:pPr>
      <w:bookmarkStart w:id="39" w:name="_Toc53394234"/>
      <w:r>
        <w:rPr>
          <w:rFonts w:ascii="仿宋_GB2312" w:eastAsia="仿宋_GB2312" w:hAnsi="仿宋" w:cs="Arial Unicode MS" w:hint="eastAsia"/>
          <w:color w:val="000000"/>
          <w:kern w:val="0"/>
          <w:sz w:val="32"/>
          <w:szCs w:val="32"/>
          <w:lang w:val="zh-CN"/>
        </w:rPr>
        <w:t>2.基于制剂学因素的考虑</w:t>
      </w:r>
      <w:bookmarkEnd w:id="39"/>
    </w:p>
    <w:p w:rsidR="00217415" w:rsidRDefault="008256AB">
      <w:pPr>
        <w:widowControl/>
        <w:adjustRightInd w:val="0"/>
        <w:snapToGrid w:val="0"/>
        <w:spacing w:line="360" w:lineRule="auto"/>
        <w:ind w:firstLineChars="200" w:firstLine="640"/>
        <w:rPr>
          <w:rFonts w:ascii="仿宋_GB2312" w:eastAsia="仿宋_GB2312" w:hAnsi="仿宋" w:cs="Times"/>
          <w:color w:val="000000"/>
          <w:kern w:val="0"/>
          <w:sz w:val="32"/>
          <w:szCs w:val="32"/>
        </w:rPr>
      </w:pPr>
      <w:r>
        <w:rPr>
          <w:rFonts w:ascii="仿宋_GB2312" w:eastAsia="仿宋_GB2312" w:hAnsi="仿宋" w:cs="Times" w:hint="eastAsia"/>
          <w:color w:val="000000"/>
          <w:kern w:val="0"/>
          <w:sz w:val="32"/>
          <w:szCs w:val="32"/>
        </w:rPr>
        <w:t>对于仿制药制剂学方面评估，需基于药品特点具体问题具体分析。具体如下：</w:t>
      </w:r>
    </w:p>
    <w:p w:rsidR="00217415" w:rsidRDefault="008256AB">
      <w:pPr>
        <w:widowControl/>
        <w:adjustRightInd w:val="0"/>
        <w:snapToGrid w:val="0"/>
        <w:spacing w:line="360" w:lineRule="auto"/>
        <w:ind w:firstLineChars="200" w:firstLine="640"/>
        <w:rPr>
          <w:rFonts w:ascii="仿宋_GB2312" w:eastAsia="仿宋_GB2312" w:hAnsi="仿宋" w:cs="Times"/>
          <w:color w:val="000000"/>
          <w:kern w:val="0"/>
          <w:sz w:val="32"/>
          <w:szCs w:val="32"/>
        </w:rPr>
      </w:pPr>
      <w:r>
        <w:rPr>
          <w:rFonts w:ascii="仿宋_GB2312" w:eastAsia="仿宋_GB2312" w:hAnsi="仿宋" w:cs="Times" w:hint="eastAsia"/>
          <w:color w:val="000000"/>
          <w:kern w:val="0"/>
          <w:sz w:val="32"/>
          <w:szCs w:val="32"/>
        </w:rPr>
        <w:t>首先，应确定参比制剂，通常应选择具有充分有效性和安全性数据的原研产品，且主要为欧盟EMA、美国FDA和日本PMDA批准上市并被列为参比制剂的药品。同时，应根据“关于发布化学仿制药参比制剂遴选与确定程序的公告（2019年第25号）”要求，对所选参比制剂进行认定。</w:t>
      </w:r>
    </w:p>
    <w:p w:rsidR="00217415" w:rsidRDefault="008256AB">
      <w:pPr>
        <w:widowControl/>
        <w:adjustRightInd w:val="0"/>
        <w:snapToGrid w:val="0"/>
        <w:spacing w:line="360" w:lineRule="auto"/>
        <w:ind w:firstLineChars="200" w:firstLine="640"/>
        <w:rPr>
          <w:rFonts w:ascii="仿宋_GB2312" w:eastAsia="仿宋_GB2312" w:hAnsi="仿宋" w:cs="Times"/>
          <w:color w:val="000000"/>
          <w:kern w:val="0"/>
          <w:sz w:val="32"/>
          <w:szCs w:val="32"/>
        </w:rPr>
      </w:pPr>
      <w:r>
        <w:rPr>
          <w:rFonts w:ascii="仿宋_GB2312" w:eastAsia="仿宋_GB2312" w:hAnsi="仿宋" w:cs="Times" w:hint="eastAsia"/>
          <w:color w:val="000000"/>
          <w:kern w:val="0"/>
          <w:sz w:val="32"/>
          <w:szCs w:val="32"/>
        </w:rPr>
        <w:t>其次，应根据药学和生物药剂学特征，通过研究证明仿制药品与原研产品质量与疗效一致性。如口服固体制剂，除进行与原研产品药学研究比较之外，还应参照已发布的技术要求，开展生物等效性研究等。对于复杂剂型（脂质体、微乳、外用制剂等），则尚需结合药物及适应症特点，在药学</w:t>
      </w:r>
      <w:r>
        <w:rPr>
          <w:rFonts w:ascii="仿宋_GB2312" w:eastAsia="仿宋_GB2312" w:hAnsi="仿宋" w:cs="Times" w:hint="eastAsia"/>
          <w:color w:val="000000"/>
          <w:kern w:val="0"/>
          <w:sz w:val="32"/>
          <w:szCs w:val="32"/>
        </w:rPr>
        <w:lastRenderedPageBreak/>
        <w:t>和非临床对比研究和评价的基础上，考虑必要的临床试验，以支持仿制药品与原研药品间疗效和安全的可比性评价。</w:t>
      </w:r>
    </w:p>
    <w:sectPr w:rsidR="00217415">
      <w:footerReference w:type="default" r:id="rId11"/>
      <w:pgSz w:w="11906" w:h="16838"/>
      <w:pgMar w:top="1440" w:right="1797" w:bottom="1440" w:left="1797" w:header="851" w:footer="992"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068" w:rsidRDefault="007A5068">
      <w:r>
        <w:separator/>
      </w:r>
    </w:p>
  </w:endnote>
  <w:endnote w:type="continuationSeparator" w:id="0">
    <w:p w:rsidR="007A5068" w:rsidRDefault="007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21002A87" w:usb1="090F0000"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415" w:rsidRDefault="00217415">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415" w:rsidRDefault="00217415">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065894"/>
    </w:sdtPr>
    <w:sdtEndPr/>
    <w:sdtContent>
      <w:p w:rsidR="00217415" w:rsidRDefault="008256AB">
        <w:pPr>
          <w:pStyle w:val="a5"/>
          <w:jc w:val="center"/>
        </w:pPr>
        <w:r>
          <w:fldChar w:fldCharType="begin"/>
        </w:r>
        <w:r>
          <w:instrText>PAGE   \* MERGEFORMAT</w:instrText>
        </w:r>
        <w:r>
          <w:fldChar w:fldCharType="separate"/>
        </w:r>
        <w:r w:rsidR="008810D2" w:rsidRPr="008810D2">
          <w:rPr>
            <w:noProof/>
            <w:lang w:val="zh-CN"/>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068" w:rsidRDefault="007A5068">
      <w:r>
        <w:separator/>
      </w:r>
    </w:p>
  </w:footnote>
  <w:footnote w:type="continuationSeparator" w:id="0">
    <w:p w:rsidR="007A5068" w:rsidRDefault="007A50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A2757"/>
    <w:multiLevelType w:val="multilevel"/>
    <w:tmpl w:val="21AA2757"/>
    <w:lvl w:ilvl="0">
      <w:start w:val="1"/>
      <w:numFmt w:val="decimal"/>
      <w:lvlText w:val="%1."/>
      <w:lvlJc w:val="left"/>
      <w:pPr>
        <w:ind w:left="960" w:hanging="320"/>
      </w:pPr>
      <w:rPr>
        <w:rFonts w:cs="Time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7A"/>
    <w:rsid w:val="00000852"/>
    <w:rsid w:val="00001654"/>
    <w:rsid w:val="000042BB"/>
    <w:rsid w:val="00007811"/>
    <w:rsid w:val="0001289A"/>
    <w:rsid w:val="0001319B"/>
    <w:rsid w:val="00014F41"/>
    <w:rsid w:val="00015DE9"/>
    <w:rsid w:val="000175BF"/>
    <w:rsid w:val="000175D2"/>
    <w:rsid w:val="00017B89"/>
    <w:rsid w:val="000249E1"/>
    <w:rsid w:val="00025855"/>
    <w:rsid w:val="00026516"/>
    <w:rsid w:val="000327F7"/>
    <w:rsid w:val="000340E7"/>
    <w:rsid w:val="00036C7A"/>
    <w:rsid w:val="0004776D"/>
    <w:rsid w:val="0005335F"/>
    <w:rsid w:val="00053D2E"/>
    <w:rsid w:val="000610BC"/>
    <w:rsid w:val="00066F50"/>
    <w:rsid w:val="000679F4"/>
    <w:rsid w:val="00071B9E"/>
    <w:rsid w:val="00081FC0"/>
    <w:rsid w:val="00082694"/>
    <w:rsid w:val="00084260"/>
    <w:rsid w:val="00085C9F"/>
    <w:rsid w:val="00086663"/>
    <w:rsid w:val="00092012"/>
    <w:rsid w:val="000921F0"/>
    <w:rsid w:val="00092253"/>
    <w:rsid w:val="00097235"/>
    <w:rsid w:val="000A047B"/>
    <w:rsid w:val="000A14CE"/>
    <w:rsid w:val="000A1F3B"/>
    <w:rsid w:val="000A1FF0"/>
    <w:rsid w:val="000A486E"/>
    <w:rsid w:val="000A4C39"/>
    <w:rsid w:val="000B1160"/>
    <w:rsid w:val="000B57AA"/>
    <w:rsid w:val="000B630B"/>
    <w:rsid w:val="000B64D5"/>
    <w:rsid w:val="000C59C2"/>
    <w:rsid w:val="000D1775"/>
    <w:rsid w:val="000D1E91"/>
    <w:rsid w:val="000D2B10"/>
    <w:rsid w:val="000D35E3"/>
    <w:rsid w:val="000E3102"/>
    <w:rsid w:val="000E333B"/>
    <w:rsid w:val="000E62FD"/>
    <w:rsid w:val="000F32A9"/>
    <w:rsid w:val="000F384C"/>
    <w:rsid w:val="000F7E89"/>
    <w:rsid w:val="0010184F"/>
    <w:rsid w:val="00106FA8"/>
    <w:rsid w:val="001100B0"/>
    <w:rsid w:val="00110992"/>
    <w:rsid w:val="00111777"/>
    <w:rsid w:val="00112C42"/>
    <w:rsid w:val="00112EAB"/>
    <w:rsid w:val="00113B4A"/>
    <w:rsid w:val="00115D9F"/>
    <w:rsid w:val="00125C23"/>
    <w:rsid w:val="00127808"/>
    <w:rsid w:val="00136CC7"/>
    <w:rsid w:val="001378F4"/>
    <w:rsid w:val="001436FF"/>
    <w:rsid w:val="0014402A"/>
    <w:rsid w:val="00147EF4"/>
    <w:rsid w:val="00150D5F"/>
    <w:rsid w:val="00155FEF"/>
    <w:rsid w:val="0016077A"/>
    <w:rsid w:val="001627BF"/>
    <w:rsid w:val="00172243"/>
    <w:rsid w:val="00176F26"/>
    <w:rsid w:val="00182095"/>
    <w:rsid w:val="001845D8"/>
    <w:rsid w:val="00194F18"/>
    <w:rsid w:val="00196F35"/>
    <w:rsid w:val="001A2666"/>
    <w:rsid w:val="001A3225"/>
    <w:rsid w:val="001A48ED"/>
    <w:rsid w:val="001A7ABC"/>
    <w:rsid w:val="001B0FD0"/>
    <w:rsid w:val="001B5096"/>
    <w:rsid w:val="001C243F"/>
    <w:rsid w:val="001C4048"/>
    <w:rsid w:val="001C6671"/>
    <w:rsid w:val="001C75BD"/>
    <w:rsid w:val="001D0E6A"/>
    <w:rsid w:val="001D47D6"/>
    <w:rsid w:val="001D6579"/>
    <w:rsid w:val="001E22FE"/>
    <w:rsid w:val="001E4654"/>
    <w:rsid w:val="001E5BEB"/>
    <w:rsid w:val="001E6B06"/>
    <w:rsid w:val="001E6D93"/>
    <w:rsid w:val="001F0A14"/>
    <w:rsid w:val="001F12E1"/>
    <w:rsid w:val="001F25F0"/>
    <w:rsid w:val="001F26DF"/>
    <w:rsid w:val="001F3317"/>
    <w:rsid w:val="001F3638"/>
    <w:rsid w:val="001F4F67"/>
    <w:rsid w:val="00200128"/>
    <w:rsid w:val="00203C4B"/>
    <w:rsid w:val="00203DC3"/>
    <w:rsid w:val="0020539F"/>
    <w:rsid w:val="002057D3"/>
    <w:rsid w:val="00210984"/>
    <w:rsid w:val="0021560B"/>
    <w:rsid w:val="00217415"/>
    <w:rsid w:val="002238CA"/>
    <w:rsid w:val="00223BDD"/>
    <w:rsid w:val="0022411B"/>
    <w:rsid w:val="0022718C"/>
    <w:rsid w:val="00227940"/>
    <w:rsid w:val="00227A73"/>
    <w:rsid w:val="002300AE"/>
    <w:rsid w:val="0023361F"/>
    <w:rsid w:val="00237FA8"/>
    <w:rsid w:val="0024068A"/>
    <w:rsid w:val="00244788"/>
    <w:rsid w:val="0025094C"/>
    <w:rsid w:val="00251465"/>
    <w:rsid w:val="00254367"/>
    <w:rsid w:val="00264E74"/>
    <w:rsid w:val="00266B52"/>
    <w:rsid w:val="00274871"/>
    <w:rsid w:val="002749D4"/>
    <w:rsid w:val="0027609B"/>
    <w:rsid w:val="002857B9"/>
    <w:rsid w:val="00290B2B"/>
    <w:rsid w:val="00294D51"/>
    <w:rsid w:val="002A3BAF"/>
    <w:rsid w:val="002A3F01"/>
    <w:rsid w:val="002A407F"/>
    <w:rsid w:val="002A43AF"/>
    <w:rsid w:val="002A4BBF"/>
    <w:rsid w:val="002A4EB2"/>
    <w:rsid w:val="002A741B"/>
    <w:rsid w:val="002B0B0C"/>
    <w:rsid w:val="002B21C1"/>
    <w:rsid w:val="002B3C6A"/>
    <w:rsid w:val="002B6D59"/>
    <w:rsid w:val="002C1355"/>
    <w:rsid w:val="002C6E5E"/>
    <w:rsid w:val="002C797F"/>
    <w:rsid w:val="002C7988"/>
    <w:rsid w:val="002D121C"/>
    <w:rsid w:val="002D3F0C"/>
    <w:rsid w:val="002D54A0"/>
    <w:rsid w:val="002D6C9C"/>
    <w:rsid w:val="002E2E90"/>
    <w:rsid w:val="002E335B"/>
    <w:rsid w:val="002E38D6"/>
    <w:rsid w:val="002F295C"/>
    <w:rsid w:val="002F34D3"/>
    <w:rsid w:val="002F5C29"/>
    <w:rsid w:val="002F5E7B"/>
    <w:rsid w:val="003066E7"/>
    <w:rsid w:val="00311F64"/>
    <w:rsid w:val="003147CF"/>
    <w:rsid w:val="00315336"/>
    <w:rsid w:val="0032384E"/>
    <w:rsid w:val="00330CAA"/>
    <w:rsid w:val="003313A3"/>
    <w:rsid w:val="00331C09"/>
    <w:rsid w:val="00333663"/>
    <w:rsid w:val="00336FFA"/>
    <w:rsid w:val="0033771F"/>
    <w:rsid w:val="00340B37"/>
    <w:rsid w:val="003429EF"/>
    <w:rsid w:val="00343C94"/>
    <w:rsid w:val="00343FDA"/>
    <w:rsid w:val="003440BE"/>
    <w:rsid w:val="00344139"/>
    <w:rsid w:val="00347519"/>
    <w:rsid w:val="00352FA1"/>
    <w:rsid w:val="00354648"/>
    <w:rsid w:val="003577DF"/>
    <w:rsid w:val="00360F5C"/>
    <w:rsid w:val="00362433"/>
    <w:rsid w:val="00363CD1"/>
    <w:rsid w:val="00371654"/>
    <w:rsid w:val="00372746"/>
    <w:rsid w:val="003731EA"/>
    <w:rsid w:val="0037449F"/>
    <w:rsid w:val="003745BD"/>
    <w:rsid w:val="00377E5D"/>
    <w:rsid w:val="003802AC"/>
    <w:rsid w:val="003804CE"/>
    <w:rsid w:val="003838D7"/>
    <w:rsid w:val="00383ECF"/>
    <w:rsid w:val="00383F62"/>
    <w:rsid w:val="0039056F"/>
    <w:rsid w:val="003937B9"/>
    <w:rsid w:val="00396826"/>
    <w:rsid w:val="00396D8A"/>
    <w:rsid w:val="003A659D"/>
    <w:rsid w:val="003A726D"/>
    <w:rsid w:val="003B66C7"/>
    <w:rsid w:val="003C2687"/>
    <w:rsid w:val="003C26E3"/>
    <w:rsid w:val="003C535F"/>
    <w:rsid w:val="003C7846"/>
    <w:rsid w:val="003D09FB"/>
    <w:rsid w:val="003D6799"/>
    <w:rsid w:val="003D69F4"/>
    <w:rsid w:val="003D79C3"/>
    <w:rsid w:val="003D7F51"/>
    <w:rsid w:val="003E566F"/>
    <w:rsid w:val="003E6B5B"/>
    <w:rsid w:val="003E6F6E"/>
    <w:rsid w:val="003F02D4"/>
    <w:rsid w:val="003F3800"/>
    <w:rsid w:val="00400B53"/>
    <w:rsid w:val="00400B84"/>
    <w:rsid w:val="004013BF"/>
    <w:rsid w:val="004014F9"/>
    <w:rsid w:val="004016EB"/>
    <w:rsid w:val="004041C9"/>
    <w:rsid w:val="00405CF1"/>
    <w:rsid w:val="0041098C"/>
    <w:rsid w:val="00420C9C"/>
    <w:rsid w:val="00421298"/>
    <w:rsid w:val="0042658E"/>
    <w:rsid w:val="00445288"/>
    <w:rsid w:val="00450BAA"/>
    <w:rsid w:val="004511B5"/>
    <w:rsid w:val="00452DB7"/>
    <w:rsid w:val="00453CE0"/>
    <w:rsid w:val="004607F1"/>
    <w:rsid w:val="00464E6B"/>
    <w:rsid w:val="00465D91"/>
    <w:rsid w:val="00466B3D"/>
    <w:rsid w:val="00466D77"/>
    <w:rsid w:val="00472372"/>
    <w:rsid w:val="00472DC4"/>
    <w:rsid w:val="0047653E"/>
    <w:rsid w:val="00481EB1"/>
    <w:rsid w:val="00482F83"/>
    <w:rsid w:val="00491B76"/>
    <w:rsid w:val="00493490"/>
    <w:rsid w:val="00494128"/>
    <w:rsid w:val="004A1A78"/>
    <w:rsid w:val="004A36F4"/>
    <w:rsid w:val="004A6166"/>
    <w:rsid w:val="004B0030"/>
    <w:rsid w:val="004B1E01"/>
    <w:rsid w:val="004B2327"/>
    <w:rsid w:val="004B560C"/>
    <w:rsid w:val="004B6362"/>
    <w:rsid w:val="004C5953"/>
    <w:rsid w:val="004D493D"/>
    <w:rsid w:val="004D5683"/>
    <w:rsid w:val="004E154D"/>
    <w:rsid w:val="004E2BAB"/>
    <w:rsid w:val="004E6F59"/>
    <w:rsid w:val="004E7641"/>
    <w:rsid w:val="004E7835"/>
    <w:rsid w:val="004E7C4A"/>
    <w:rsid w:val="004E7FB5"/>
    <w:rsid w:val="004F017F"/>
    <w:rsid w:val="004F2B38"/>
    <w:rsid w:val="004F432E"/>
    <w:rsid w:val="004F4BAD"/>
    <w:rsid w:val="004F6506"/>
    <w:rsid w:val="00502A81"/>
    <w:rsid w:val="005102F4"/>
    <w:rsid w:val="0051254F"/>
    <w:rsid w:val="005159E8"/>
    <w:rsid w:val="00515BB2"/>
    <w:rsid w:val="00522834"/>
    <w:rsid w:val="00540BF7"/>
    <w:rsid w:val="00541FEE"/>
    <w:rsid w:val="0054401A"/>
    <w:rsid w:val="00547775"/>
    <w:rsid w:val="00547A6B"/>
    <w:rsid w:val="00547D0B"/>
    <w:rsid w:val="00551A4E"/>
    <w:rsid w:val="00552A8A"/>
    <w:rsid w:val="00556C22"/>
    <w:rsid w:val="00556DDA"/>
    <w:rsid w:val="00556E8D"/>
    <w:rsid w:val="0055787B"/>
    <w:rsid w:val="0056176D"/>
    <w:rsid w:val="00565C24"/>
    <w:rsid w:val="00567937"/>
    <w:rsid w:val="00567E75"/>
    <w:rsid w:val="005715AA"/>
    <w:rsid w:val="005741B4"/>
    <w:rsid w:val="00576209"/>
    <w:rsid w:val="00592D5C"/>
    <w:rsid w:val="005A00EF"/>
    <w:rsid w:val="005A3AE0"/>
    <w:rsid w:val="005A642A"/>
    <w:rsid w:val="005A7403"/>
    <w:rsid w:val="005A7BEE"/>
    <w:rsid w:val="005B15DA"/>
    <w:rsid w:val="005B617F"/>
    <w:rsid w:val="005C0E22"/>
    <w:rsid w:val="005C331E"/>
    <w:rsid w:val="005C4E6B"/>
    <w:rsid w:val="005C5BC6"/>
    <w:rsid w:val="005C77B6"/>
    <w:rsid w:val="005C7FA8"/>
    <w:rsid w:val="005D192E"/>
    <w:rsid w:val="005D2360"/>
    <w:rsid w:val="005D24A6"/>
    <w:rsid w:val="005D402D"/>
    <w:rsid w:val="005D7C22"/>
    <w:rsid w:val="005E4557"/>
    <w:rsid w:val="005E5997"/>
    <w:rsid w:val="005E65DF"/>
    <w:rsid w:val="005F32C6"/>
    <w:rsid w:val="005F3ECB"/>
    <w:rsid w:val="005F647C"/>
    <w:rsid w:val="006002C2"/>
    <w:rsid w:val="00601F71"/>
    <w:rsid w:val="00602F09"/>
    <w:rsid w:val="006049D9"/>
    <w:rsid w:val="00606754"/>
    <w:rsid w:val="00607387"/>
    <w:rsid w:val="00610DA7"/>
    <w:rsid w:val="00613C18"/>
    <w:rsid w:val="00614825"/>
    <w:rsid w:val="006171CE"/>
    <w:rsid w:val="006322D9"/>
    <w:rsid w:val="006373D5"/>
    <w:rsid w:val="006433A3"/>
    <w:rsid w:val="00653036"/>
    <w:rsid w:val="00653DD9"/>
    <w:rsid w:val="00653FAD"/>
    <w:rsid w:val="00657A4A"/>
    <w:rsid w:val="0066031D"/>
    <w:rsid w:val="0067145D"/>
    <w:rsid w:val="00673A82"/>
    <w:rsid w:val="00674422"/>
    <w:rsid w:val="00676DD6"/>
    <w:rsid w:val="00680EC4"/>
    <w:rsid w:val="00684286"/>
    <w:rsid w:val="00684376"/>
    <w:rsid w:val="00690513"/>
    <w:rsid w:val="00694166"/>
    <w:rsid w:val="00695351"/>
    <w:rsid w:val="00696315"/>
    <w:rsid w:val="006965FE"/>
    <w:rsid w:val="00696721"/>
    <w:rsid w:val="00696A15"/>
    <w:rsid w:val="006A050F"/>
    <w:rsid w:val="006A18FA"/>
    <w:rsid w:val="006A746F"/>
    <w:rsid w:val="006B2435"/>
    <w:rsid w:val="006B35B3"/>
    <w:rsid w:val="006B6283"/>
    <w:rsid w:val="006B6E69"/>
    <w:rsid w:val="006C02BB"/>
    <w:rsid w:val="006C2709"/>
    <w:rsid w:val="006C3179"/>
    <w:rsid w:val="006C6DEE"/>
    <w:rsid w:val="006D3896"/>
    <w:rsid w:val="006D45BC"/>
    <w:rsid w:val="006D4E28"/>
    <w:rsid w:val="006D63F7"/>
    <w:rsid w:val="006D7D81"/>
    <w:rsid w:val="006E0529"/>
    <w:rsid w:val="006E3AF3"/>
    <w:rsid w:val="006E5AFB"/>
    <w:rsid w:val="006E78C6"/>
    <w:rsid w:val="006F1F43"/>
    <w:rsid w:val="006F4001"/>
    <w:rsid w:val="006F4013"/>
    <w:rsid w:val="006F4BD3"/>
    <w:rsid w:val="006F629D"/>
    <w:rsid w:val="006F7200"/>
    <w:rsid w:val="006F7A29"/>
    <w:rsid w:val="00700560"/>
    <w:rsid w:val="00704E76"/>
    <w:rsid w:val="0070535B"/>
    <w:rsid w:val="00705A7E"/>
    <w:rsid w:val="00705EF8"/>
    <w:rsid w:val="0071028F"/>
    <w:rsid w:val="00710332"/>
    <w:rsid w:val="007116DE"/>
    <w:rsid w:val="0071223F"/>
    <w:rsid w:val="007136D7"/>
    <w:rsid w:val="00715E12"/>
    <w:rsid w:val="00721AF1"/>
    <w:rsid w:val="00721DCE"/>
    <w:rsid w:val="00723C2A"/>
    <w:rsid w:val="00725E7A"/>
    <w:rsid w:val="007263A3"/>
    <w:rsid w:val="00733F57"/>
    <w:rsid w:val="00734A49"/>
    <w:rsid w:val="00734D5E"/>
    <w:rsid w:val="00740FF4"/>
    <w:rsid w:val="0074169E"/>
    <w:rsid w:val="00743A0E"/>
    <w:rsid w:val="00744FFF"/>
    <w:rsid w:val="00750920"/>
    <w:rsid w:val="00751384"/>
    <w:rsid w:val="00751C99"/>
    <w:rsid w:val="007534C7"/>
    <w:rsid w:val="00756B31"/>
    <w:rsid w:val="0076063C"/>
    <w:rsid w:val="00772304"/>
    <w:rsid w:val="00776EDE"/>
    <w:rsid w:val="00777D06"/>
    <w:rsid w:val="007815B9"/>
    <w:rsid w:val="00785E71"/>
    <w:rsid w:val="00790514"/>
    <w:rsid w:val="00792687"/>
    <w:rsid w:val="00792697"/>
    <w:rsid w:val="007A2CA1"/>
    <w:rsid w:val="007A5068"/>
    <w:rsid w:val="007B2400"/>
    <w:rsid w:val="007B44C3"/>
    <w:rsid w:val="007B53ED"/>
    <w:rsid w:val="007C03D4"/>
    <w:rsid w:val="007C3620"/>
    <w:rsid w:val="007C4010"/>
    <w:rsid w:val="007C555F"/>
    <w:rsid w:val="007D1A3A"/>
    <w:rsid w:val="007D20EC"/>
    <w:rsid w:val="007D5AD4"/>
    <w:rsid w:val="007D78F4"/>
    <w:rsid w:val="007E015E"/>
    <w:rsid w:val="007E08F2"/>
    <w:rsid w:val="007E7607"/>
    <w:rsid w:val="007E7ECA"/>
    <w:rsid w:val="007F39F3"/>
    <w:rsid w:val="007F6BFA"/>
    <w:rsid w:val="008109EA"/>
    <w:rsid w:val="00814DBE"/>
    <w:rsid w:val="00820340"/>
    <w:rsid w:val="00820674"/>
    <w:rsid w:val="008221D9"/>
    <w:rsid w:val="00823C5D"/>
    <w:rsid w:val="008256AB"/>
    <w:rsid w:val="00830E9B"/>
    <w:rsid w:val="00831D9B"/>
    <w:rsid w:val="008372FE"/>
    <w:rsid w:val="00842D90"/>
    <w:rsid w:val="0085096E"/>
    <w:rsid w:val="00852811"/>
    <w:rsid w:val="0085298F"/>
    <w:rsid w:val="008537AB"/>
    <w:rsid w:val="008553ED"/>
    <w:rsid w:val="0085698E"/>
    <w:rsid w:val="00856E0C"/>
    <w:rsid w:val="00857790"/>
    <w:rsid w:val="0086057E"/>
    <w:rsid w:val="0086120C"/>
    <w:rsid w:val="008621AE"/>
    <w:rsid w:val="00863CA6"/>
    <w:rsid w:val="008677E9"/>
    <w:rsid w:val="008711C0"/>
    <w:rsid w:val="00872E62"/>
    <w:rsid w:val="008766AD"/>
    <w:rsid w:val="00877CE8"/>
    <w:rsid w:val="008810D2"/>
    <w:rsid w:val="00882D58"/>
    <w:rsid w:val="0088701E"/>
    <w:rsid w:val="00890869"/>
    <w:rsid w:val="00891242"/>
    <w:rsid w:val="00893208"/>
    <w:rsid w:val="00894DDD"/>
    <w:rsid w:val="008970A5"/>
    <w:rsid w:val="0089717F"/>
    <w:rsid w:val="00897C30"/>
    <w:rsid w:val="008A06A5"/>
    <w:rsid w:val="008A2E26"/>
    <w:rsid w:val="008A4501"/>
    <w:rsid w:val="008A455F"/>
    <w:rsid w:val="008A4EA8"/>
    <w:rsid w:val="008B46EB"/>
    <w:rsid w:val="008B49C9"/>
    <w:rsid w:val="008B611F"/>
    <w:rsid w:val="008B7369"/>
    <w:rsid w:val="008B7DB5"/>
    <w:rsid w:val="008C1B96"/>
    <w:rsid w:val="008C47CE"/>
    <w:rsid w:val="008C5CA1"/>
    <w:rsid w:val="008D09EF"/>
    <w:rsid w:val="008D1189"/>
    <w:rsid w:val="008D308A"/>
    <w:rsid w:val="008D3B0E"/>
    <w:rsid w:val="008D4D7C"/>
    <w:rsid w:val="008D5CBC"/>
    <w:rsid w:val="008E4865"/>
    <w:rsid w:val="008E49E1"/>
    <w:rsid w:val="008E5C0B"/>
    <w:rsid w:val="008E5EF1"/>
    <w:rsid w:val="008F320C"/>
    <w:rsid w:val="008F7BD9"/>
    <w:rsid w:val="00904DD1"/>
    <w:rsid w:val="009057FD"/>
    <w:rsid w:val="00910D6D"/>
    <w:rsid w:val="009113F2"/>
    <w:rsid w:val="00911621"/>
    <w:rsid w:val="009136D1"/>
    <w:rsid w:val="00914211"/>
    <w:rsid w:val="00922204"/>
    <w:rsid w:val="0092373B"/>
    <w:rsid w:val="009265E7"/>
    <w:rsid w:val="00933992"/>
    <w:rsid w:val="009349DD"/>
    <w:rsid w:val="00942946"/>
    <w:rsid w:val="009435AB"/>
    <w:rsid w:val="00944087"/>
    <w:rsid w:val="00947268"/>
    <w:rsid w:val="0095477A"/>
    <w:rsid w:val="00960EE1"/>
    <w:rsid w:val="009620A1"/>
    <w:rsid w:val="00962136"/>
    <w:rsid w:val="00963C0D"/>
    <w:rsid w:val="0096710D"/>
    <w:rsid w:val="009735B1"/>
    <w:rsid w:val="00975FD7"/>
    <w:rsid w:val="00977A32"/>
    <w:rsid w:val="009823E1"/>
    <w:rsid w:val="009837A8"/>
    <w:rsid w:val="00983D01"/>
    <w:rsid w:val="00985BF6"/>
    <w:rsid w:val="00991189"/>
    <w:rsid w:val="0099147A"/>
    <w:rsid w:val="00991D06"/>
    <w:rsid w:val="009935C0"/>
    <w:rsid w:val="00993660"/>
    <w:rsid w:val="009A137D"/>
    <w:rsid w:val="009A1AEC"/>
    <w:rsid w:val="009A2817"/>
    <w:rsid w:val="009A2A79"/>
    <w:rsid w:val="009A3E49"/>
    <w:rsid w:val="009B30A1"/>
    <w:rsid w:val="009B3811"/>
    <w:rsid w:val="009B5156"/>
    <w:rsid w:val="009B5D4C"/>
    <w:rsid w:val="009B70AB"/>
    <w:rsid w:val="009C02C7"/>
    <w:rsid w:val="009C1F64"/>
    <w:rsid w:val="009C1F8A"/>
    <w:rsid w:val="009C5A41"/>
    <w:rsid w:val="009C5F96"/>
    <w:rsid w:val="009C6165"/>
    <w:rsid w:val="009D0CDD"/>
    <w:rsid w:val="009D129E"/>
    <w:rsid w:val="009D2A6D"/>
    <w:rsid w:val="009D2F89"/>
    <w:rsid w:val="009D32EF"/>
    <w:rsid w:val="009D5635"/>
    <w:rsid w:val="009E4B89"/>
    <w:rsid w:val="009F08F7"/>
    <w:rsid w:val="009F2249"/>
    <w:rsid w:val="009F425A"/>
    <w:rsid w:val="009F5A40"/>
    <w:rsid w:val="00A00C26"/>
    <w:rsid w:val="00A00C74"/>
    <w:rsid w:val="00A058B1"/>
    <w:rsid w:val="00A06E28"/>
    <w:rsid w:val="00A12190"/>
    <w:rsid w:val="00A1380C"/>
    <w:rsid w:val="00A13855"/>
    <w:rsid w:val="00A15F93"/>
    <w:rsid w:val="00A22618"/>
    <w:rsid w:val="00A25693"/>
    <w:rsid w:val="00A307F7"/>
    <w:rsid w:val="00A3266E"/>
    <w:rsid w:val="00A34A65"/>
    <w:rsid w:val="00A36FC9"/>
    <w:rsid w:val="00A404CC"/>
    <w:rsid w:val="00A40525"/>
    <w:rsid w:val="00A51E90"/>
    <w:rsid w:val="00A53102"/>
    <w:rsid w:val="00A54690"/>
    <w:rsid w:val="00A56983"/>
    <w:rsid w:val="00A57E72"/>
    <w:rsid w:val="00A6068D"/>
    <w:rsid w:val="00A61006"/>
    <w:rsid w:val="00A61993"/>
    <w:rsid w:val="00A6496E"/>
    <w:rsid w:val="00A64A7C"/>
    <w:rsid w:val="00A64F3E"/>
    <w:rsid w:val="00A80958"/>
    <w:rsid w:val="00A81F3E"/>
    <w:rsid w:val="00A8478D"/>
    <w:rsid w:val="00A87C32"/>
    <w:rsid w:val="00A9050E"/>
    <w:rsid w:val="00A95DAF"/>
    <w:rsid w:val="00A96B51"/>
    <w:rsid w:val="00AA3024"/>
    <w:rsid w:val="00AA47A6"/>
    <w:rsid w:val="00AA5229"/>
    <w:rsid w:val="00AA6C24"/>
    <w:rsid w:val="00AB14FE"/>
    <w:rsid w:val="00AB3F63"/>
    <w:rsid w:val="00AB463A"/>
    <w:rsid w:val="00AB6DEA"/>
    <w:rsid w:val="00AC137A"/>
    <w:rsid w:val="00AC33A0"/>
    <w:rsid w:val="00AC5BAD"/>
    <w:rsid w:val="00AC750B"/>
    <w:rsid w:val="00AD185B"/>
    <w:rsid w:val="00AD2B74"/>
    <w:rsid w:val="00AE3C3D"/>
    <w:rsid w:val="00AF1CF4"/>
    <w:rsid w:val="00AF1FB8"/>
    <w:rsid w:val="00AF35B4"/>
    <w:rsid w:val="00AF476F"/>
    <w:rsid w:val="00AF539C"/>
    <w:rsid w:val="00AF7691"/>
    <w:rsid w:val="00B00025"/>
    <w:rsid w:val="00B0049B"/>
    <w:rsid w:val="00B006B7"/>
    <w:rsid w:val="00B04E22"/>
    <w:rsid w:val="00B0710E"/>
    <w:rsid w:val="00B0768C"/>
    <w:rsid w:val="00B0772B"/>
    <w:rsid w:val="00B10375"/>
    <w:rsid w:val="00B125F2"/>
    <w:rsid w:val="00B1557B"/>
    <w:rsid w:val="00B15A51"/>
    <w:rsid w:val="00B16AC7"/>
    <w:rsid w:val="00B17D09"/>
    <w:rsid w:val="00B25AC6"/>
    <w:rsid w:val="00B26C4F"/>
    <w:rsid w:val="00B27A7C"/>
    <w:rsid w:val="00B312F6"/>
    <w:rsid w:val="00B32089"/>
    <w:rsid w:val="00B34510"/>
    <w:rsid w:val="00B35507"/>
    <w:rsid w:val="00B369EC"/>
    <w:rsid w:val="00B3701F"/>
    <w:rsid w:val="00B37E16"/>
    <w:rsid w:val="00B37F44"/>
    <w:rsid w:val="00B44D50"/>
    <w:rsid w:val="00B472D8"/>
    <w:rsid w:val="00B47386"/>
    <w:rsid w:val="00B4790C"/>
    <w:rsid w:val="00B50F19"/>
    <w:rsid w:val="00B53F74"/>
    <w:rsid w:val="00B54D1D"/>
    <w:rsid w:val="00B56CE6"/>
    <w:rsid w:val="00B57C2D"/>
    <w:rsid w:val="00B60A90"/>
    <w:rsid w:val="00B60E2E"/>
    <w:rsid w:val="00B61C3F"/>
    <w:rsid w:val="00B63BDA"/>
    <w:rsid w:val="00B6707E"/>
    <w:rsid w:val="00B7209F"/>
    <w:rsid w:val="00B7297D"/>
    <w:rsid w:val="00B7359A"/>
    <w:rsid w:val="00B76197"/>
    <w:rsid w:val="00B77263"/>
    <w:rsid w:val="00B77CCA"/>
    <w:rsid w:val="00B80F5E"/>
    <w:rsid w:val="00B81A9B"/>
    <w:rsid w:val="00B866A6"/>
    <w:rsid w:val="00B87192"/>
    <w:rsid w:val="00B949E9"/>
    <w:rsid w:val="00B95184"/>
    <w:rsid w:val="00BA4964"/>
    <w:rsid w:val="00BB3B60"/>
    <w:rsid w:val="00BB52F8"/>
    <w:rsid w:val="00BC0E02"/>
    <w:rsid w:val="00BC47B5"/>
    <w:rsid w:val="00BC592D"/>
    <w:rsid w:val="00BD00BF"/>
    <w:rsid w:val="00BE13CA"/>
    <w:rsid w:val="00BE2691"/>
    <w:rsid w:val="00BE3509"/>
    <w:rsid w:val="00BF2783"/>
    <w:rsid w:val="00BF3E8B"/>
    <w:rsid w:val="00BF4579"/>
    <w:rsid w:val="00C024BA"/>
    <w:rsid w:val="00C028F0"/>
    <w:rsid w:val="00C02CA8"/>
    <w:rsid w:val="00C07B0A"/>
    <w:rsid w:val="00C13A87"/>
    <w:rsid w:val="00C13E24"/>
    <w:rsid w:val="00C1423B"/>
    <w:rsid w:val="00C1590F"/>
    <w:rsid w:val="00C2340A"/>
    <w:rsid w:val="00C237FF"/>
    <w:rsid w:val="00C24E07"/>
    <w:rsid w:val="00C326D3"/>
    <w:rsid w:val="00C3449F"/>
    <w:rsid w:val="00C3480B"/>
    <w:rsid w:val="00C34A2C"/>
    <w:rsid w:val="00C35752"/>
    <w:rsid w:val="00C35946"/>
    <w:rsid w:val="00C40304"/>
    <w:rsid w:val="00C411DC"/>
    <w:rsid w:val="00C427AF"/>
    <w:rsid w:val="00C436A1"/>
    <w:rsid w:val="00C471D5"/>
    <w:rsid w:val="00C50C50"/>
    <w:rsid w:val="00C5156F"/>
    <w:rsid w:val="00C51A1E"/>
    <w:rsid w:val="00C520C4"/>
    <w:rsid w:val="00C531E4"/>
    <w:rsid w:val="00C5327D"/>
    <w:rsid w:val="00C5339A"/>
    <w:rsid w:val="00C555F5"/>
    <w:rsid w:val="00C57CAE"/>
    <w:rsid w:val="00C61169"/>
    <w:rsid w:val="00C7523A"/>
    <w:rsid w:val="00C75ACA"/>
    <w:rsid w:val="00C77A92"/>
    <w:rsid w:val="00C83CD8"/>
    <w:rsid w:val="00C83D67"/>
    <w:rsid w:val="00C8434B"/>
    <w:rsid w:val="00C86357"/>
    <w:rsid w:val="00C87E5E"/>
    <w:rsid w:val="00C91D88"/>
    <w:rsid w:val="00C95F04"/>
    <w:rsid w:val="00C978A4"/>
    <w:rsid w:val="00CA3FBE"/>
    <w:rsid w:val="00CA587B"/>
    <w:rsid w:val="00CB0CC0"/>
    <w:rsid w:val="00CB1194"/>
    <w:rsid w:val="00CB4BFB"/>
    <w:rsid w:val="00CB531D"/>
    <w:rsid w:val="00CB606F"/>
    <w:rsid w:val="00CB6C3F"/>
    <w:rsid w:val="00CC0395"/>
    <w:rsid w:val="00CC33BB"/>
    <w:rsid w:val="00CC3586"/>
    <w:rsid w:val="00CD0E84"/>
    <w:rsid w:val="00CD21E2"/>
    <w:rsid w:val="00CD262B"/>
    <w:rsid w:val="00CD455E"/>
    <w:rsid w:val="00CD46D3"/>
    <w:rsid w:val="00CD4C85"/>
    <w:rsid w:val="00CD67F7"/>
    <w:rsid w:val="00CD71DC"/>
    <w:rsid w:val="00CE0511"/>
    <w:rsid w:val="00CE149E"/>
    <w:rsid w:val="00CE3C62"/>
    <w:rsid w:val="00CE5F45"/>
    <w:rsid w:val="00CE6A80"/>
    <w:rsid w:val="00CF0F64"/>
    <w:rsid w:val="00CF3FD0"/>
    <w:rsid w:val="00CF4B9F"/>
    <w:rsid w:val="00CF5E17"/>
    <w:rsid w:val="00CF6DE0"/>
    <w:rsid w:val="00D01637"/>
    <w:rsid w:val="00D0177B"/>
    <w:rsid w:val="00D037B9"/>
    <w:rsid w:val="00D05C08"/>
    <w:rsid w:val="00D12DD8"/>
    <w:rsid w:val="00D211E2"/>
    <w:rsid w:val="00D31B93"/>
    <w:rsid w:val="00D375DF"/>
    <w:rsid w:val="00D37C4F"/>
    <w:rsid w:val="00D37EC3"/>
    <w:rsid w:val="00D40606"/>
    <w:rsid w:val="00D4168F"/>
    <w:rsid w:val="00D504B4"/>
    <w:rsid w:val="00D51087"/>
    <w:rsid w:val="00D53EB6"/>
    <w:rsid w:val="00D5651E"/>
    <w:rsid w:val="00D57804"/>
    <w:rsid w:val="00D63D54"/>
    <w:rsid w:val="00D63D6E"/>
    <w:rsid w:val="00D64B26"/>
    <w:rsid w:val="00D74F87"/>
    <w:rsid w:val="00D759D4"/>
    <w:rsid w:val="00D80CA9"/>
    <w:rsid w:val="00D839BB"/>
    <w:rsid w:val="00D902B7"/>
    <w:rsid w:val="00D914CC"/>
    <w:rsid w:val="00D91CCF"/>
    <w:rsid w:val="00D9390A"/>
    <w:rsid w:val="00D97311"/>
    <w:rsid w:val="00DA40DF"/>
    <w:rsid w:val="00DA6D0C"/>
    <w:rsid w:val="00DB0B60"/>
    <w:rsid w:val="00DB0CE7"/>
    <w:rsid w:val="00DB3319"/>
    <w:rsid w:val="00DB4B1C"/>
    <w:rsid w:val="00DB5092"/>
    <w:rsid w:val="00DB54FC"/>
    <w:rsid w:val="00DB6C6D"/>
    <w:rsid w:val="00DC019E"/>
    <w:rsid w:val="00DC02F5"/>
    <w:rsid w:val="00DC0E47"/>
    <w:rsid w:val="00DC2FAC"/>
    <w:rsid w:val="00DC38C6"/>
    <w:rsid w:val="00DC58CC"/>
    <w:rsid w:val="00DC710F"/>
    <w:rsid w:val="00DC76A1"/>
    <w:rsid w:val="00DD0295"/>
    <w:rsid w:val="00DD0920"/>
    <w:rsid w:val="00DD4732"/>
    <w:rsid w:val="00DD5F77"/>
    <w:rsid w:val="00DD6B59"/>
    <w:rsid w:val="00DD73A1"/>
    <w:rsid w:val="00DE0C8F"/>
    <w:rsid w:val="00DE148A"/>
    <w:rsid w:val="00DE284F"/>
    <w:rsid w:val="00DE2C1B"/>
    <w:rsid w:val="00DE39AE"/>
    <w:rsid w:val="00DE524C"/>
    <w:rsid w:val="00DE5F3E"/>
    <w:rsid w:val="00DF04CF"/>
    <w:rsid w:val="00DF1A96"/>
    <w:rsid w:val="00DF278E"/>
    <w:rsid w:val="00DF3173"/>
    <w:rsid w:val="00DF4892"/>
    <w:rsid w:val="00DF50E1"/>
    <w:rsid w:val="00DF5571"/>
    <w:rsid w:val="00DF76FC"/>
    <w:rsid w:val="00DF79D8"/>
    <w:rsid w:val="00E01A7E"/>
    <w:rsid w:val="00E12C8F"/>
    <w:rsid w:val="00E12CEC"/>
    <w:rsid w:val="00E14207"/>
    <w:rsid w:val="00E14BDF"/>
    <w:rsid w:val="00E2071D"/>
    <w:rsid w:val="00E22E71"/>
    <w:rsid w:val="00E232E7"/>
    <w:rsid w:val="00E3170E"/>
    <w:rsid w:val="00E33ABD"/>
    <w:rsid w:val="00E342C7"/>
    <w:rsid w:val="00E35983"/>
    <w:rsid w:val="00E3730E"/>
    <w:rsid w:val="00E4003F"/>
    <w:rsid w:val="00E47F10"/>
    <w:rsid w:val="00E502FA"/>
    <w:rsid w:val="00E53AD5"/>
    <w:rsid w:val="00E53AFC"/>
    <w:rsid w:val="00E564E6"/>
    <w:rsid w:val="00E61708"/>
    <w:rsid w:val="00E619DE"/>
    <w:rsid w:val="00E62E6E"/>
    <w:rsid w:val="00E635C8"/>
    <w:rsid w:val="00E66910"/>
    <w:rsid w:val="00E7218E"/>
    <w:rsid w:val="00E740BF"/>
    <w:rsid w:val="00E74141"/>
    <w:rsid w:val="00E7587A"/>
    <w:rsid w:val="00E75B9E"/>
    <w:rsid w:val="00E80BAF"/>
    <w:rsid w:val="00E80E2F"/>
    <w:rsid w:val="00E81A05"/>
    <w:rsid w:val="00E82562"/>
    <w:rsid w:val="00E82E5D"/>
    <w:rsid w:val="00E86CF9"/>
    <w:rsid w:val="00E87EFC"/>
    <w:rsid w:val="00E91405"/>
    <w:rsid w:val="00E9577C"/>
    <w:rsid w:val="00E970FA"/>
    <w:rsid w:val="00E97B21"/>
    <w:rsid w:val="00EA0234"/>
    <w:rsid w:val="00EA0A2E"/>
    <w:rsid w:val="00EA154F"/>
    <w:rsid w:val="00EA1F96"/>
    <w:rsid w:val="00EA3806"/>
    <w:rsid w:val="00EA5CEA"/>
    <w:rsid w:val="00EA62E8"/>
    <w:rsid w:val="00EA7F38"/>
    <w:rsid w:val="00EB4D9D"/>
    <w:rsid w:val="00EC0696"/>
    <w:rsid w:val="00EC4E67"/>
    <w:rsid w:val="00EC4FDC"/>
    <w:rsid w:val="00ED0527"/>
    <w:rsid w:val="00ED16A3"/>
    <w:rsid w:val="00ED1F57"/>
    <w:rsid w:val="00ED2D1A"/>
    <w:rsid w:val="00ED72AF"/>
    <w:rsid w:val="00EE1F29"/>
    <w:rsid w:val="00EF0F35"/>
    <w:rsid w:val="00EF297B"/>
    <w:rsid w:val="00EF33A4"/>
    <w:rsid w:val="00EF52D6"/>
    <w:rsid w:val="00F00614"/>
    <w:rsid w:val="00F0127D"/>
    <w:rsid w:val="00F02FB6"/>
    <w:rsid w:val="00F07CEF"/>
    <w:rsid w:val="00F10AB9"/>
    <w:rsid w:val="00F10DA8"/>
    <w:rsid w:val="00F13A2E"/>
    <w:rsid w:val="00F13BB8"/>
    <w:rsid w:val="00F14562"/>
    <w:rsid w:val="00F1666E"/>
    <w:rsid w:val="00F2337A"/>
    <w:rsid w:val="00F260A1"/>
    <w:rsid w:val="00F3136C"/>
    <w:rsid w:val="00F31C9E"/>
    <w:rsid w:val="00F31E5D"/>
    <w:rsid w:val="00F41B0A"/>
    <w:rsid w:val="00F43C6C"/>
    <w:rsid w:val="00F4435F"/>
    <w:rsid w:val="00F519CF"/>
    <w:rsid w:val="00F5331B"/>
    <w:rsid w:val="00F636CA"/>
    <w:rsid w:val="00F705C5"/>
    <w:rsid w:val="00F70663"/>
    <w:rsid w:val="00F7437E"/>
    <w:rsid w:val="00F761CE"/>
    <w:rsid w:val="00F85B47"/>
    <w:rsid w:val="00F92717"/>
    <w:rsid w:val="00F9363D"/>
    <w:rsid w:val="00F95D81"/>
    <w:rsid w:val="00FA5E9F"/>
    <w:rsid w:val="00FB0C42"/>
    <w:rsid w:val="00FB1F0F"/>
    <w:rsid w:val="00FB3009"/>
    <w:rsid w:val="00FB3632"/>
    <w:rsid w:val="00FD3B5B"/>
    <w:rsid w:val="00FE0B47"/>
    <w:rsid w:val="00FE1DCB"/>
    <w:rsid w:val="00FE293E"/>
    <w:rsid w:val="00FE49FB"/>
    <w:rsid w:val="00FE66AD"/>
    <w:rsid w:val="00FF3CC0"/>
    <w:rsid w:val="00FF48F2"/>
    <w:rsid w:val="00FF50AC"/>
    <w:rsid w:val="00FF6858"/>
    <w:rsid w:val="02E3097F"/>
    <w:rsid w:val="13BD1AF7"/>
    <w:rsid w:val="1B074D1D"/>
    <w:rsid w:val="1D877C80"/>
    <w:rsid w:val="1ED55B52"/>
    <w:rsid w:val="2103135E"/>
    <w:rsid w:val="21661F04"/>
    <w:rsid w:val="278C288F"/>
    <w:rsid w:val="3BF10314"/>
    <w:rsid w:val="45384084"/>
    <w:rsid w:val="457C26D0"/>
    <w:rsid w:val="477C36AB"/>
    <w:rsid w:val="480D3689"/>
    <w:rsid w:val="50C46D86"/>
    <w:rsid w:val="52A97343"/>
    <w:rsid w:val="603818EA"/>
    <w:rsid w:val="62C320BD"/>
    <w:rsid w:val="675A5AEE"/>
    <w:rsid w:val="6ADD3014"/>
    <w:rsid w:val="6D0013DA"/>
    <w:rsid w:val="6E0724A2"/>
    <w:rsid w:val="6FA442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3D77"/>
  <w15:docId w15:val="{B012143C-79DE-499F-B593-2998F364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pPr>
      <w:ind w:leftChars="400" w:left="840"/>
    </w:pPr>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style>
  <w:style w:type="paragraph" w:styleId="2">
    <w:name w:val="toc 2"/>
    <w:basedOn w:val="a"/>
    <w:next w:val="a"/>
    <w:uiPriority w:val="39"/>
    <w:unhideWhenUsed/>
    <w:qFormat/>
    <w:pPr>
      <w:ind w:leftChars="200" w:left="420"/>
    </w:pPr>
  </w:style>
  <w:style w:type="character" w:styleId="a9">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A32E81-6686-46A5-A362-A6CEEB6D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837</Words>
  <Characters>4771</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谢松梅</dc:creator>
  <cp:lastModifiedBy>赵聪</cp:lastModifiedBy>
  <cp:revision>2</cp:revision>
  <cp:lastPrinted>2020-07-23T01:08:00Z</cp:lastPrinted>
  <dcterms:created xsi:type="dcterms:W3CDTF">2020-10-12T03:24:00Z</dcterms:created>
  <dcterms:modified xsi:type="dcterms:W3CDTF">2020-10-12T03:24:00Z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