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bookmarkStart w:id="0" w:name="_GoBack"/>
      <w:bookmarkEnd w:id="0"/>
    </w:p>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rsidR="00592FDF" w:rsidRPr="00FC429D" w:rsidRDefault="00CE0E6C">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盐酸厄洛替尼片生物等效性研究</w:t>
      </w:r>
    </w:p>
    <w:p w:rsidR="00592FDF" w:rsidRPr="00FC429D" w:rsidRDefault="00CE0E6C">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技术指导原则</w:t>
      </w:r>
    </w:p>
    <w:p w:rsidR="00592FDF" w:rsidRPr="00FC429D" w:rsidRDefault="00CE0E6C">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（征求意见稿）</w:t>
      </w:r>
    </w:p>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rsidR="00592FDF" w:rsidRPr="00540C62" w:rsidRDefault="00592FDF">
      <w:pPr>
        <w:spacing w:afterLines="50" w:after="156" w:line="240" w:lineRule="atLeast"/>
        <w:jc w:val="center"/>
        <w:rPr>
          <w:rFonts w:ascii="Times New Roman" w:eastAsia="方正小标宋简体" w:hAnsi="Times New Roman" w:cs="Times New Roman"/>
          <w:bCs/>
          <w:sz w:val="48"/>
          <w:szCs w:val="32"/>
        </w:rPr>
      </w:pPr>
    </w:p>
    <w:p w:rsidR="00592FDF" w:rsidRPr="00FC429D" w:rsidRDefault="00246A12">
      <w:pPr>
        <w:spacing w:afterLines="50" w:after="156" w:line="240" w:lineRule="atLeast"/>
        <w:jc w:val="center"/>
        <w:rPr>
          <w:rFonts w:ascii="Times New Roman" w:eastAsia="黑体" w:hAnsi="Times New Roman" w:cs="Times New Roman"/>
          <w:bCs/>
          <w:sz w:val="32"/>
          <w:szCs w:val="32"/>
        </w:rPr>
        <w:sectPr w:rsidR="00592FDF" w:rsidRPr="00FC429D">
          <w:pgSz w:w="11906" w:h="16838"/>
          <w:pgMar w:top="1440" w:right="1800" w:bottom="1440" w:left="1800" w:header="851" w:footer="992" w:gutter="0"/>
          <w:cols w:space="425"/>
          <w:docGrid w:type="lines" w:linePitch="312"/>
        </w:sectPr>
      </w:pPr>
      <w:r w:rsidRPr="00FC429D">
        <w:rPr>
          <w:rFonts w:ascii="Times New Roman" w:eastAsia="黑体" w:hAnsi="Times New Roman" w:cs="Times New Roman"/>
          <w:bCs/>
          <w:sz w:val="32"/>
          <w:szCs w:val="32"/>
        </w:rPr>
        <w:t>2021</w:t>
      </w:r>
      <w:r w:rsidRPr="00FC429D">
        <w:rPr>
          <w:rFonts w:ascii="Times New Roman" w:eastAsia="黑体" w:hAnsi="Times New Roman" w:cs="Times New Roman"/>
          <w:bCs/>
          <w:sz w:val="32"/>
          <w:szCs w:val="32"/>
        </w:rPr>
        <w:t>年</w:t>
      </w:r>
      <w:r>
        <w:rPr>
          <w:rFonts w:ascii="Times New Roman" w:eastAsia="黑体" w:hAnsi="Times New Roman" w:cs="Times New Roman"/>
          <w:bCs/>
          <w:sz w:val="32"/>
          <w:szCs w:val="32"/>
        </w:rPr>
        <w:t>4</w:t>
      </w:r>
      <w:r w:rsidR="00CE0E6C" w:rsidRPr="00FC429D">
        <w:rPr>
          <w:rFonts w:ascii="Times New Roman" w:eastAsia="黑体" w:hAnsi="Times New Roman" w:cs="Times New Roman"/>
          <w:bCs/>
          <w:sz w:val="32"/>
          <w:szCs w:val="32"/>
        </w:rPr>
        <w:t>月</w:t>
      </w:r>
    </w:p>
    <w:p w:rsidR="00592FDF" w:rsidRPr="00FC429D" w:rsidRDefault="00592FDF">
      <w:pPr>
        <w:spacing w:afterLines="50" w:after="156" w:line="240" w:lineRule="atLeast"/>
        <w:jc w:val="center"/>
        <w:rPr>
          <w:rFonts w:ascii="Times New Roman" w:eastAsia="黑体" w:hAnsi="Times New Roman" w:cs="Times New Roman"/>
          <w:bCs/>
          <w:sz w:val="32"/>
          <w:szCs w:val="32"/>
        </w:rPr>
      </w:pPr>
    </w:p>
    <w:sdt>
      <w:sdtPr>
        <w:rPr>
          <w:rFonts w:ascii="Times New Roman" w:eastAsia="仿宋_GB2312" w:hAnsi="Times New Roman" w:cs="Times New Roman"/>
          <w:color w:val="auto"/>
          <w:kern w:val="2"/>
          <w:sz w:val="21"/>
          <w:szCs w:val="22"/>
          <w:lang w:val="zh-CN"/>
        </w:rPr>
        <w:id w:val="1325389930"/>
        <w:docPartObj>
          <w:docPartGallery w:val="Table of Contents"/>
          <w:docPartUnique/>
        </w:docPartObj>
      </w:sdtPr>
      <w:sdtEndPr>
        <w:rPr>
          <w:rFonts w:eastAsiaTheme="minorEastAsia"/>
          <w:b/>
          <w:bCs/>
        </w:rPr>
      </w:sdtEndPr>
      <w:sdtContent>
        <w:p w:rsidR="00592FDF" w:rsidRPr="00FC429D" w:rsidRDefault="00CE0E6C">
          <w:pPr>
            <w:pStyle w:val="TOC1"/>
            <w:jc w:val="center"/>
            <w:rPr>
              <w:rFonts w:ascii="Times New Roman" w:eastAsia="方正小标宋简体" w:hAnsi="Times New Roman" w:cs="Times New Roman"/>
              <w:color w:val="auto"/>
              <w:sz w:val="36"/>
              <w:lang w:val="zh-CN"/>
            </w:rPr>
          </w:pPr>
          <w:r w:rsidRPr="00FC429D">
            <w:rPr>
              <w:rFonts w:ascii="Times New Roman" w:eastAsia="方正小标宋简体" w:hAnsi="Times New Roman" w:cs="Times New Roman"/>
              <w:color w:val="auto"/>
              <w:sz w:val="36"/>
              <w:lang w:val="zh-CN"/>
            </w:rPr>
            <w:t>目</w:t>
          </w:r>
          <w:r w:rsidRPr="00FC429D">
            <w:rPr>
              <w:rFonts w:ascii="Times New Roman" w:eastAsia="方正小标宋简体" w:hAnsi="Times New Roman" w:cs="Times New Roman"/>
              <w:color w:val="auto"/>
              <w:sz w:val="36"/>
              <w:lang w:val="zh-CN"/>
            </w:rPr>
            <w:t xml:space="preserve">  </w:t>
          </w:r>
          <w:r w:rsidRPr="00FC429D">
            <w:rPr>
              <w:rFonts w:ascii="Times New Roman" w:eastAsia="方正小标宋简体" w:hAnsi="Times New Roman" w:cs="Times New Roman"/>
              <w:color w:val="auto"/>
              <w:sz w:val="36"/>
              <w:lang w:val="zh-CN"/>
            </w:rPr>
            <w:t>录</w:t>
          </w:r>
        </w:p>
        <w:p w:rsidR="00592FDF" w:rsidRPr="00FC429D" w:rsidRDefault="00CE0E6C">
          <w:pPr>
            <w:pStyle w:val="11"/>
            <w:tabs>
              <w:tab w:val="right" w:leader="dot" w:pos="8296"/>
            </w:tabs>
            <w:spacing w:after="200" w:line="276" w:lineRule="auto"/>
            <w:rPr>
              <w:rFonts w:ascii="Times New Roman" w:eastAsia="仿宋_GB2312" w:hAnsi="Times New Roman" w:cs="Times New Roman"/>
              <w:noProof/>
              <w:sz w:val="32"/>
              <w:szCs w:val="32"/>
            </w:rPr>
          </w:pPr>
          <w:r w:rsidRPr="00FC429D">
            <w:rPr>
              <w:rFonts w:ascii="Times New Roman" w:eastAsia="仿宋_GB2312" w:hAnsi="Times New Roman" w:cs="Times New Roman"/>
              <w:sz w:val="32"/>
              <w:szCs w:val="32"/>
            </w:rPr>
            <w:fldChar w:fldCharType="begin"/>
          </w:r>
          <w:r w:rsidRPr="00FC429D">
            <w:rPr>
              <w:rFonts w:ascii="Times New Roman" w:eastAsia="仿宋_GB2312" w:hAnsi="Times New Roman" w:cs="Times New Roman"/>
              <w:sz w:val="32"/>
              <w:szCs w:val="32"/>
            </w:rPr>
            <w:instrText xml:space="preserve"> TOC \o "1-3" \h \z \u </w:instrText>
          </w:r>
          <w:r w:rsidRPr="00FC429D">
            <w:rPr>
              <w:rFonts w:ascii="Times New Roman" w:eastAsia="仿宋_GB2312" w:hAnsi="Times New Roman" w:cs="Times New Roman"/>
              <w:sz w:val="32"/>
              <w:szCs w:val="32"/>
            </w:rPr>
            <w:fldChar w:fldCharType="separate"/>
          </w:r>
          <w:hyperlink w:anchor="_Toc66863395" w:history="1">
            <w:r w:rsidRPr="00FC429D">
              <w:rPr>
                <w:rStyle w:val="ac"/>
                <w:rFonts w:ascii="Times New Roman" w:eastAsia="仿宋_GB2312" w:hAnsi="Times New Roman" w:cs="Times New Roman"/>
                <w:bCs/>
                <w:noProof/>
                <w:kern w:val="44"/>
                <w:sz w:val="32"/>
                <w:szCs w:val="32"/>
              </w:rPr>
              <w:t>一、概述</w:t>
            </w:r>
            <w:r w:rsidRPr="00FC429D">
              <w:rPr>
                <w:rFonts w:ascii="Times New Roman" w:eastAsia="仿宋_GB2312" w:hAnsi="Times New Roman" w:cs="Times New Roman"/>
                <w:noProof/>
                <w:sz w:val="32"/>
                <w:szCs w:val="32"/>
              </w:rPr>
              <w:tab/>
            </w:r>
            <w:r w:rsidRPr="00FC429D">
              <w:rPr>
                <w:rFonts w:ascii="Times New Roman" w:eastAsia="仿宋_GB2312" w:hAnsi="Times New Roman" w:cs="Times New Roman"/>
                <w:noProof/>
                <w:sz w:val="32"/>
                <w:szCs w:val="32"/>
              </w:rPr>
              <w:fldChar w:fldCharType="begin"/>
            </w:r>
            <w:r w:rsidRPr="00FC429D">
              <w:rPr>
                <w:rFonts w:ascii="Times New Roman" w:eastAsia="仿宋_GB2312" w:hAnsi="Times New Roman" w:cs="Times New Roman"/>
                <w:noProof/>
                <w:sz w:val="32"/>
                <w:szCs w:val="32"/>
              </w:rPr>
              <w:instrText xml:space="preserve"> PAGEREF _Toc66863395 \h </w:instrText>
            </w:r>
            <w:r w:rsidRPr="00FC429D">
              <w:rPr>
                <w:rFonts w:ascii="Times New Roman" w:eastAsia="仿宋_GB2312" w:hAnsi="Times New Roman" w:cs="Times New Roman"/>
                <w:noProof/>
                <w:sz w:val="32"/>
                <w:szCs w:val="32"/>
              </w:rPr>
            </w:r>
            <w:r w:rsidRPr="00FC429D">
              <w:rPr>
                <w:rFonts w:ascii="Times New Roman" w:eastAsia="仿宋_GB2312" w:hAnsi="Times New Roman" w:cs="Times New Roman"/>
                <w:noProof/>
                <w:sz w:val="32"/>
                <w:szCs w:val="32"/>
              </w:rPr>
              <w:fldChar w:fldCharType="separate"/>
            </w:r>
            <w:r w:rsidR="00141A5E">
              <w:rPr>
                <w:rFonts w:ascii="Times New Roman" w:eastAsia="仿宋_GB2312" w:hAnsi="Times New Roman" w:cs="Times New Roman"/>
                <w:noProof/>
                <w:sz w:val="32"/>
                <w:szCs w:val="32"/>
              </w:rPr>
              <w:t>1</w:t>
            </w:r>
            <w:r w:rsidRPr="00FC429D">
              <w:rPr>
                <w:rFonts w:ascii="Times New Roman" w:eastAsia="仿宋_GB2312" w:hAnsi="Times New Roman" w:cs="Times New Roman"/>
                <w:noProof/>
                <w:sz w:val="32"/>
                <w:szCs w:val="32"/>
              </w:rPr>
              <w:fldChar w:fldCharType="end"/>
            </w:r>
          </w:hyperlink>
        </w:p>
        <w:p w:rsidR="00592FDF" w:rsidRPr="00FC429D" w:rsidRDefault="00141A5E">
          <w:pPr>
            <w:pStyle w:val="11"/>
            <w:tabs>
              <w:tab w:val="right" w:leader="dot" w:pos="8296"/>
            </w:tabs>
            <w:spacing w:after="200" w:line="276" w:lineRule="auto"/>
            <w:rPr>
              <w:rFonts w:ascii="Times New Roman" w:eastAsia="仿宋_GB2312" w:hAnsi="Times New Roman" w:cs="Times New Roman"/>
              <w:noProof/>
              <w:sz w:val="32"/>
              <w:szCs w:val="32"/>
            </w:rPr>
          </w:pPr>
          <w:hyperlink w:anchor="_Toc66863396" w:history="1">
            <w:r w:rsidR="00CE0E6C" w:rsidRPr="00FC429D">
              <w:rPr>
                <w:rStyle w:val="ac"/>
                <w:rFonts w:ascii="Times New Roman" w:eastAsia="仿宋_GB2312" w:hAnsi="Times New Roman" w:cs="Times New Roman"/>
                <w:bCs/>
                <w:noProof/>
                <w:kern w:val="44"/>
                <w:sz w:val="32"/>
                <w:szCs w:val="32"/>
              </w:rPr>
              <w:t>二、人体生物等效性研究设计</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7" w:history="1">
            <w:r w:rsidR="00CE0E6C" w:rsidRPr="00FC429D">
              <w:rPr>
                <w:rStyle w:val="ac"/>
                <w:rFonts w:ascii="Times New Roman" w:eastAsia="仿宋_GB2312" w:hAnsi="Times New Roman" w:cs="Times New Roman"/>
                <w:bCs/>
                <w:noProof/>
                <w:sz w:val="32"/>
                <w:szCs w:val="32"/>
              </w:rPr>
              <w:t>（一）</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研究类型</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_Toc66863397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8" w:history="1">
            <w:r w:rsidR="00CE0E6C" w:rsidRPr="00FC429D">
              <w:rPr>
                <w:rStyle w:val="ac"/>
                <w:rFonts w:ascii="Times New Roman" w:eastAsia="仿宋_GB2312" w:hAnsi="Times New Roman" w:cs="Times New Roman"/>
                <w:bCs/>
                <w:noProof/>
                <w:sz w:val="32"/>
                <w:szCs w:val="32"/>
              </w:rPr>
              <w:t>（二）</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受试人群</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_Toc66863398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9" w:history="1">
            <w:r w:rsidR="00CE0E6C" w:rsidRPr="00FC429D">
              <w:rPr>
                <w:rStyle w:val="ac"/>
                <w:rFonts w:ascii="Times New Roman" w:eastAsia="仿宋_GB2312" w:hAnsi="Times New Roman" w:cs="Times New Roman"/>
                <w:bCs/>
                <w:noProof/>
                <w:sz w:val="32"/>
                <w:szCs w:val="32"/>
              </w:rPr>
              <w:t>（三）</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给药剂量</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_Toc66863399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0" w:history="1">
            <w:r w:rsidR="00CE0E6C" w:rsidRPr="00FC429D">
              <w:rPr>
                <w:rStyle w:val="ac"/>
                <w:rFonts w:ascii="Times New Roman" w:eastAsia="仿宋_GB2312" w:hAnsi="Times New Roman" w:cs="Times New Roman"/>
                <w:bCs/>
                <w:noProof/>
                <w:sz w:val="32"/>
                <w:szCs w:val="32"/>
              </w:rPr>
              <w:t>（四）</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给药方法</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_Toc66863400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1" w:history="1">
            <w:r w:rsidR="00CE0E6C" w:rsidRPr="00FC429D">
              <w:rPr>
                <w:rStyle w:val="ac"/>
                <w:rFonts w:ascii="Times New Roman" w:eastAsia="仿宋_GB2312" w:hAnsi="Times New Roman" w:cs="Times New Roman"/>
                <w:bCs/>
                <w:noProof/>
                <w:sz w:val="32"/>
                <w:szCs w:val="32"/>
              </w:rPr>
              <w:t>（五）</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血样采集</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_Toc66863401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2" w:history="1">
            <w:r w:rsidR="00CE0E6C" w:rsidRPr="00FC429D">
              <w:rPr>
                <w:rStyle w:val="ac"/>
                <w:rFonts w:ascii="Times New Roman" w:eastAsia="仿宋_GB2312" w:hAnsi="Times New Roman" w:cs="Times New Roman"/>
                <w:bCs/>
                <w:noProof/>
                <w:sz w:val="32"/>
                <w:szCs w:val="32"/>
              </w:rPr>
              <w:t>（六）</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检测物质</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_Toc66863402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3" w:history="1">
            <w:r w:rsidR="00CE0E6C" w:rsidRPr="00FC429D">
              <w:rPr>
                <w:rStyle w:val="ac"/>
                <w:rFonts w:ascii="Times New Roman" w:eastAsia="仿宋_GB2312" w:hAnsi="Times New Roman" w:cs="Times New Roman"/>
                <w:bCs/>
                <w:noProof/>
                <w:sz w:val="32"/>
                <w:szCs w:val="32"/>
              </w:rPr>
              <w:t>（七）</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生物等效性评价</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_Toc66863403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4" w:history="1">
            <w:r w:rsidR="00CE0E6C" w:rsidRPr="00FC429D">
              <w:rPr>
                <w:rStyle w:val="ac"/>
                <w:rFonts w:ascii="Times New Roman" w:eastAsia="仿宋_GB2312" w:hAnsi="Times New Roman" w:cs="Times New Roman"/>
                <w:bCs/>
                <w:noProof/>
                <w:sz w:val="32"/>
                <w:szCs w:val="32"/>
              </w:rPr>
              <w:t>（八）</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其他</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_Toc66863404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5" w:history="1">
            <w:r w:rsidR="00CE0E6C" w:rsidRPr="00FC429D">
              <w:rPr>
                <w:rStyle w:val="ac"/>
                <w:rFonts w:ascii="Times New Roman" w:eastAsia="仿宋_GB2312" w:hAnsi="Times New Roman" w:cs="Times New Roman"/>
                <w:bCs/>
                <w:noProof/>
                <w:kern w:val="44"/>
                <w:sz w:val="32"/>
                <w:szCs w:val="32"/>
              </w:rPr>
              <w:t>三、人体生物等效性研究豁免</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_Toc66863405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rsidR="00592FDF" w:rsidRPr="00FC429D" w:rsidRDefault="00141A5E">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6" w:history="1">
            <w:r w:rsidR="00CE0E6C" w:rsidRPr="00FC429D">
              <w:rPr>
                <w:rStyle w:val="ac"/>
                <w:rFonts w:ascii="Times New Roman" w:eastAsia="仿宋_GB2312" w:hAnsi="Times New Roman" w:cs="Times New Roman"/>
                <w:bCs/>
                <w:noProof/>
                <w:kern w:val="44"/>
                <w:sz w:val="32"/>
                <w:szCs w:val="32"/>
              </w:rPr>
              <w:t>四、参考文献</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rsidR="00592FDF" w:rsidRPr="00FC429D" w:rsidRDefault="00CE0E6C">
          <w:pPr>
            <w:spacing w:after="200" w:line="276" w:lineRule="auto"/>
            <w:rPr>
              <w:rFonts w:ascii="Times New Roman" w:hAnsi="Times New Roman" w:cs="Times New Roman"/>
            </w:rPr>
            <w:sectPr w:rsidR="00592FDF" w:rsidRPr="00FC429D">
              <w:pgSz w:w="11906" w:h="16838"/>
              <w:pgMar w:top="1440" w:right="1800" w:bottom="1440" w:left="1800" w:header="851" w:footer="992" w:gutter="0"/>
              <w:cols w:space="425"/>
              <w:docGrid w:type="lines" w:linePitch="312"/>
            </w:sectPr>
          </w:pPr>
          <w:r w:rsidRPr="00FC429D">
            <w:rPr>
              <w:rFonts w:ascii="Times New Roman" w:eastAsia="仿宋_GB2312" w:hAnsi="Times New Roman" w:cs="Times New Roman"/>
              <w:b/>
              <w:bCs/>
              <w:sz w:val="32"/>
              <w:szCs w:val="32"/>
              <w:lang w:val="zh-CN"/>
            </w:rPr>
            <w:fldChar w:fldCharType="end"/>
          </w:r>
        </w:p>
      </w:sdtContent>
    </w:sdt>
    <w:p w:rsidR="00592FDF" w:rsidRPr="00FC429D" w:rsidRDefault="00592FDF">
      <w:pPr>
        <w:widowControl/>
        <w:jc w:val="left"/>
        <w:rPr>
          <w:rFonts w:ascii="Times New Roman" w:eastAsia="仿宋" w:hAnsi="Times New Roman" w:cs="Times New Roman"/>
          <w:sz w:val="32"/>
          <w:szCs w:val="32"/>
        </w:rPr>
      </w:pPr>
    </w:p>
    <w:p w:rsidR="00592FDF" w:rsidRPr="00FC429D" w:rsidRDefault="00CE0E6C">
      <w:pPr>
        <w:widowControl/>
        <w:spacing w:after="200" w:line="360" w:lineRule="auto"/>
        <w:jc w:val="center"/>
        <w:rPr>
          <w:rFonts w:ascii="Times New Roman" w:eastAsia="方正小标宋简体" w:hAnsi="Times New Roman" w:cs="Times New Roman"/>
          <w:sz w:val="36"/>
          <w:szCs w:val="36"/>
        </w:rPr>
      </w:pPr>
      <w:r w:rsidRPr="00FC429D">
        <w:rPr>
          <w:rFonts w:ascii="Times New Roman" w:eastAsia="方正小标宋简体" w:hAnsi="Times New Roman" w:cs="Times New Roman"/>
          <w:sz w:val="36"/>
          <w:szCs w:val="36"/>
        </w:rPr>
        <w:t>盐酸厄洛替尼片生物等效性研究技术指导原则</w:t>
      </w:r>
    </w:p>
    <w:p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 w:name="_Toc66863395"/>
      <w:r w:rsidRPr="00FC429D">
        <w:rPr>
          <w:rFonts w:ascii="Times New Roman" w:eastAsia="黑体" w:hAnsi="Times New Roman" w:cs="Times New Roman"/>
          <w:bCs/>
          <w:kern w:val="44"/>
          <w:sz w:val="32"/>
          <w:szCs w:val="44"/>
        </w:rPr>
        <w:t>一、概述</w:t>
      </w:r>
      <w:bookmarkEnd w:id="1"/>
    </w:p>
    <w:p w:rsidR="00592FDF" w:rsidRPr="00FC429D" w:rsidRDefault="00CE0E6C">
      <w:pPr>
        <w:spacing w:beforeLines="50" w:before="156" w:line="360" w:lineRule="auto"/>
        <w:ind w:firstLineChars="200" w:firstLine="640"/>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盐酸厄洛替尼片（</w:t>
      </w:r>
      <w:r w:rsidRPr="00FC429D">
        <w:rPr>
          <w:rFonts w:ascii="Times New Roman" w:eastAsia="仿宋_GB2312" w:hAnsi="Times New Roman" w:cs="Times New Roman"/>
          <w:sz w:val="32"/>
          <w:szCs w:val="32"/>
        </w:rPr>
        <w:t>Erlotinib Hydrochloride Tablets</w:t>
      </w:r>
      <w:r w:rsidRPr="00FC429D">
        <w:rPr>
          <w:rFonts w:ascii="Times New Roman" w:eastAsia="仿宋_GB2312" w:hAnsi="Times New Roman" w:cs="Times New Roman"/>
          <w:sz w:val="32"/>
          <w:szCs w:val="32"/>
        </w:rPr>
        <w:t>）单药</w:t>
      </w:r>
      <w:r w:rsidRPr="00FC429D">
        <w:rPr>
          <w:rFonts w:ascii="Times New Roman" w:eastAsia="仿宋_GB2312" w:hAnsi="Times New Roman" w:cs="Times New Roman"/>
          <w:bCs/>
          <w:sz w:val="32"/>
          <w:szCs w:val="32"/>
        </w:rPr>
        <w:t>适用于表皮生长因子受体（</w:t>
      </w:r>
      <w:r w:rsidRPr="00FC429D">
        <w:rPr>
          <w:rFonts w:ascii="Times New Roman" w:eastAsia="仿宋_GB2312" w:hAnsi="Times New Roman" w:cs="Times New Roman"/>
          <w:bCs/>
          <w:sz w:val="32"/>
          <w:szCs w:val="32"/>
        </w:rPr>
        <w:t>EGFR</w:t>
      </w:r>
      <w:r w:rsidRPr="00FC429D">
        <w:rPr>
          <w:rFonts w:ascii="Times New Roman" w:eastAsia="仿宋_GB2312" w:hAnsi="Times New Roman" w:cs="Times New Roman"/>
          <w:bCs/>
          <w:sz w:val="32"/>
          <w:szCs w:val="32"/>
        </w:rPr>
        <w:t>）基因具有敏感突变的局部晚期或转移性非小细胞肺癌（</w:t>
      </w:r>
      <w:r w:rsidRPr="00FC429D">
        <w:rPr>
          <w:rFonts w:ascii="Times New Roman" w:eastAsia="仿宋_GB2312" w:hAnsi="Times New Roman" w:cs="Times New Roman"/>
          <w:bCs/>
          <w:sz w:val="32"/>
          <w:szCs w:val="32"/>
        </w:rPr>
        <w:t>NSCLC</w:t>
      </w:r>
      <w:r w:rsidRPr="00FC429D">
        <w:rPr>
          <w:rFonts w:ascii="Times New Roman" w:eastAsia="仿宋_GB2312" w:hAnsi="Times New Roman" w:cs="Times New Roman"/>
          <w:bCs/>
          <w:sz w:val="32"/>
          <w:szCs w:val="32"/>
        </w:rPr>
        <w:t>）患者的治疗，包括一线治疗、维持治疗，或既往接受过至少一次化疗进展后的二线及以上治疗。主要成分为盐酸厄洛替尼。根据原研说明书，本品应空腹服用（至少在饭前</w:t>
      </w:r>
      <w:r w:rsidRPr="00FC429D">
        <w:rPr>
          <w:rFonts w:ascii="Times New Roman" w:eastAsia="仿宋_GB2312" w:hAnsi="Times New Roman" w:cs="Times New Roman"/>
          <w:bCs/>
          <w:sz w:val="32"/>
          <w:szCs w:val="32"/>
        </w:rPr>
        <w:t>1</w:t>
      </w:r>
      <w:r w:rsidRPr="00FC429D">
        <w:rPr>
          <w:rFonts w:ascii="Times New Roman" w:eastAsia="仿宋_GB2312" w:hAnsi="Times New Roman" w:cs="Times New Roman"/>
          <w:bCs/>
          <w:sz w:val="32"/>
          <w:szCs w:val="32"/>
        </w:rPr>
        <w:t>小时或饭后</w:t>
      </w:r>
      <w:r w:rsidRPr="00FC429D">
        <w:rPr>
          <w:rFonts w:ascii="Times New Roman" w:eastAsia="仿宋_GB2312" w:hAnsi="Times New Roman" w:cs="Times New Roman"/>
          <w:bCs/>
          <w:sz w:val="32"/>
          <w:szCs w:val="32"/>
        </w:rPr>
        <w:t>2</w:t>
      </w:r>
      <w:r w:rsidRPr="00FC429D">
        <w:rPr>
          <w:rFonts w:ascii="Times New Roman" w:eastAsia="仿宋_GB2312" w:hAnsi="Times New Roman" w:cs="Times New Roman"/>
          <w:bCs/>
          <w:sz w:val="32"/>
          <w:szCs w:val="32"/>
        </w:rPr>
        <w:t>小时服用）。</w:t>
      </w:r>
    </w:p>
    <w:p w:rsidR="00592FDF" w:rsidRPr="00FC429D" w:rsidRDefault="00CE0E6C">
      <w:pPr>
        <w:spacing w:line="360" w:lineRule="auto"/>
        <w:ind w:firstLineChars="200"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盐酸厄洛替尼片生物等效性研究应符合本指导原则，还应参照《以药动学参数为终点评价指标的化学药物仿制药人体生物等效性研究技术指导原则》和《生物等效性研究的统计学指导原则》等相关</w:t>
      </w:r>
      <w:r w:rsidR="00FC429D">
        <w:rPr>
          <w:rFonts w:ascii="Times New Roman" w:eastAsia="仿宋_GB2312" w:hAnsi="Times New Roman" w:cs="Times New Roman" w:hint="eastAsia"/>
          <w:bCs/>
          <w:sz w:val="32"/>
          <w:szCs w:val="32"/>
        </w:rPr>
        <w:t>法规</w:t>
      </w:r>
      <w:r w:rsidR="00FC429D">
        <w:rPr>
          <w:rFonts w:ascii="Times New Roman" w:eastAsia="仿宋_GB2312" w:hAnsi="Times New Roman" w:cs="Times New Roman"/>
          <w:bCs/>
          <w:sz w:val="32"/>
          <w:szCs w:val="32"/>
        </w:rPr>
        <w:t>和</w:t>
      </w:r>
      <w:r w:rsidRPr="00FC429D">
        <w:rPr>
          <w:rFonts w:ascii="Times New Roman" w:eastAsia="仿宋_GB2312" w:hAnsi="Times New Roman" w:cs="Times New Roman"/>
          <w:bCs/>
          <w:sz w:val="32"/>
          <w:szCs w:val="32"/>
        </w:rPr>
        <w:t>指导原则要求。</w:t>
      </w:r>
    </w:p>
    <w:p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2" w:name="_Toc66863396"/>
      <w:r w:rsidRPr="00FC429D">
        <w:rPr>
          <w:rFonts w:ascii="Times New Roman" w:eastAsia="黑体" w:hAnsi="Times New Roman" w:cs="Times New Roman"/>
          <w:bCs/>
          <w:kern w:val="44"/>
          <w:sz w:val="32"/>
          <w:szCs w:val="44"/>
        </w:rPr>
        <w:t>二、人体生物等效性研究设计</w:t>
      </w:r>
      <w:bookmarkEnd w:id="2"/>
      <w:r w:rsidRPr="00FC429D">
        <w:rPr>
          <w:rFonts w:ascii="Times New Roman" w:eastAsia="黑体" w:hAnsi="Times New Roman" w:cs="Times New Roman"/>
          <w:bCs/>
          <w:kern w:val="44"/>
          <w:sz w:val="32"/>
          <w:szCs w:val="44"/>
        </w:rPr>
        <w:t xml:space="preserve"> </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3" w:name="_Toc66863397"/>
      <w:r w:rsidRPr="00FC429D">
        <w:rPr>
          <w:rFonts w:ascii="Times New Roman" w:eastAsia="楷体_GB2312" w:hAnsi="Times New Roman" w:cs="Times New Roman"/>
          <w:bCs/>
          <w:sz w:val="32"/>
          <w:szCs w:val="32"/>
        </w:rPr>
        <w:t>研究类型</w:t>
      </w:r>
      <w:bookmarkEnd w:id="3"/>
    </w:p>
    <w:p w:rsidR="00592FDF" w:rsidRPr="00FC429D" w:rsidRDefault="00CE0E6C">
      <w:pPr>
        <w:pStyle w:val="ae"/>
        <w:spacing w:line="360" w:lineRule="auto"/>
        <w:ind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建议采用两制剂、两周期、两序列交叉设计，进行空腹条件下单次给药的人体生物等效性研究。</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4" w:name="_Toc66863398"/>
      <w:r w:rsidRPr="00FC429D">
        <w:rPr>
          <w:rFonts w:ascii="Times New Roman" w:eastAsia="楷体_GB2312" w:hAnsi="Times New Roman" w:cs="Times New Roman"/>
          <w:bCs/>
          <w:sz w:val="32"/>
          <w:szCs w:val="32"/>
        </w:rPr>
        <w:t>受试人群</w:t>
      </w:r>
      <w:bookmarkEnd w:id="4"/>
    </w:p>
    <w:p w:rsidR="00592FDF" w:rsidRPr="00FC429D" w:rsidRDefault="00CE0E6C">
      <w:pPr>
        <w:pStyle w:val="ae"/>
        <w:spacing w:line="360" w:lineRule="auto"/>
        <w:ind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健康受试者。</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5" w:name="_Toc66863399"/>
      <w:r w:rsidRPr="00FC429D">
        <w:rPr>
          <w:rFonts w:ascii="Times New Roman" w:eastAsia="楷体_GB2312" w:hAnsi="Times New Roman" w:cs="Times New Roman"/>
          <w:bCs/>
          <w:sz w:val="32"/>
          <w:szCs w:val="32"/>
        </w:rPr>
        <w:t>给药剂量</w:t>
      </w:r>
      <w:bookmarkEnd w:id="5"/>
    </w:p>
    <w:p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建议采用申报的最高规格单片服用。</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6" w:name="_Toc66863400"/>
      <w:r w:rsidRPr="00FC429D">
        <w:rPr>
          <w:rFonts w:ascii="Times New Roman" w:eastAsia="楷体_GB2312" w:hAnsi="Times New Roman" w:cs="Times New Roman"/>
          <w:bCs/>
          <w:sz w:val="32"/>
          <w:szCs w:val="32"/>
        </w:rPr>
        <w:lastRenderedPageBreak/>
        <w:t>给药方法</w:t>
      </w:r>
      <w:bookmarkEnd w:id="6"/>
    </w:p>
    <w:p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口服给药。</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7" w:name="_Toc66863401"/>
      <w:r w:rsidRPr="00FC429D">
        <w:rPr>
          <w:rFonts w:ascii="Times New Roman" w:eastAsia="楷体_GB2312" w:hAnsi="Times New Roman" w:cs="Times New Roman"/>
          <w:bCs/>
          <w:sz w:val="32"/>
          <w:szCs w:val="32"/>
        </w:rPr>
        <w:t>血样采集</w:t>
      </w:r>
      <w:bookmarkEnd w:id="7"/>
    </w:p>
    <w:p w:rsidR="00592FDF" w:rsidRPr="00FC429D" w:rsidRDefault="004E0F45" w:rsidP="008B046E">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kern w:val="0"/>
          <w:sz w:val="32"/>
          <w:szCs w:val="32"/>
        </w:rPr>
        <w:t>合理设计</w:t>
      </w:r>
      <w:r w:rsidR="00CE0E6C" w:rsidRPr="00FC429D">
        <w:rPr>
          <w:rFonts w:ascii="Times New Roman" w:eastAsia="仿宋_GB2312" w:hAnsi="Times New Roman" w:cs="Times New Roman"/>
          <w:color w:val="000000"/>
          <w:kern w:val="0"/>
          <w:sz w:val="32"/>
          <w:szCs w:val="32"/>
        </w:rPr>
        <w:t>样品采集时间，</w:t>
      </w:r>
      <w:r w:rsidR="008B046E">
        <w:rPr>
          <w:rFonts w:ascii="Times New Roman" w:eastAsia="仿宋_GB2312" w:hAnsi="Times New Roman" w:cs="Times New Roman" w:hint="eastAsia"/>
          <w:color w:val="000000"/>
          <w:kern w:val="0"/>
          <w:sz w:val="32"/>
          <w:szCs w:val="32"/>
        </w:rPr>
        <w:t>应</w:t>
      </w:r>
      <w:r w:rsidR="00CE0E6C" w:rsidRPr="00FC429D">
        <w:rPr>
          <w:rFonts w:ascii="Times New Roman" w:eastAsia="仿宋_GB2312" w:hAnsi="Times New Roman" w:cs="Times New Roman"/>
          <w:color w:val="000000"/>
          <w:kern w:val="0"/>
          <w:sz w:val="32"/>
          <w:szCs w:val="32"/>
        </w:rPr>
        <w:t>包含吸收、分布、消除相。</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8" w:name="_Toc66863402"/>
      <w:r w:rsidRPr="00FC429D">
        <w:rPr>
          <w:rFonts w:ascii="Times New Roman" w:eastAsia="楷体_GB2312" w:hAnsi="Times New Roman" w:cs="Times New Roman"/>
          <w:bCs/>
          <w:sz w:val="32"/>
          <w:szCs w:val="32"/>
        </w:rPr>
        <w:t>检测物质</w:t>
      </w:r>
      <w:bookmarkEnd w:id="8"/>
    </w:p>
    <w:p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血浆中的厄洛替尼。</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9" w:name="_Toc66863403"/>
      <w:r w:rsidRPr="00FC429D">
        <w:rPr>
          <w:rFonts w:ascii="Times New Roman" w:eastAsia="楷体_GB2312" w:hAnsi="Times New Roman" w:cs="Times New Roman"/>
          <w:bCs/>
          <w:sz w:val="32"/>
          <w:szCs w:val="32"/>
        </w:rPr>
        <w:t>生物等效性评价</w:t>
      </w:r>
      <w:bookmarkEnd w:id="9"/>
    </w:p>
    <w:p w:rsidR="00592FDF" w:rsidRPr="00FC429D" w:rsidRDefault="00CE0E6C" w:rsidP="008B046E">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以厄洛替尼的</w:t>
      </w:r>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sidRPr="00FC429D">
        <w:rPr>
          <w:rFonts w:ascii="Times New Roman" w:eastAsia="仿宋_GB2312" w:hAnsi="Times New Roman" w:cs="Times New Roman"/>
          <w:color w:val="000000"/>
          <w:kern w:val="0"/>
          <w:sz w:val="32"/>
          <w:szCs w:val="32"/>
        </w:rPr>
        <w:t>为评价指标，生物等效性接受标准为受试制剂与参比制剂的</w:t>
      </w:r>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sidRPr="00FC429D">
        <w:rPr>
          <w:rFonts w:ascii="Times New Roman" w:eastAsia="仿宋_GB2312" w:hAnsi="Times New Roman" w:cs="Times New Roman"/>
          <w:color w:val="000000"/>
          <w:kern w:val="0"/>
          <w:sz w:val="32"/>
          <w:szCs w:val="32"/>
        </w:rPr>
        <w:t>的几何均值比值的</w:t>
      </w:r>
      <w:r w:rsidRPr="00FC429D">
        <w:rPr>
          <w:rFonts w:ascii="Times New Roman" w:eastAsia="仿宋_GB2312" w:hAnsi="Times New Roman" w:cs="Times New Roman"/>
          <w:color w:val="000000"/>
          <w:kern w:val="0"/>
          <w:sz w:val="32"/>
          <w:szCs w:val="32"/>
        </w:rPr>
        <w:t>90%</w:t>
      </w:r>
      <w:r w:rsidRPr="00FC429D">
        <w:rPr>
          <w:rFonts w:ascii="Times New Roman" w:eastAsia="仿宋_GB2312" w:hAnsi="Times New Roman" w:cs="Times New Roman"/>
          <w:color w:val="000000"/>
          <w:kern w:val="0"/>
          <w:sz w:val="32"/>
          <w:szCs w:val="32"/>
        </w:rPr>
        <w:t>置信区间数值应不低于</w:t>
      </w:r>
      <w:r w:rsidRPr="00FC429D">
        <w:rPr>
          <w:rFonts w:ascii="Times New Roman" w:eastAsia="仿宋_GB2312" w:hAnsi="Times New Roman" w:cs="Times New Roman"/>
          <w:color w:val="000000"/>
          <w:kern w:val="0"/>
          <w:sz w:val="32"/>
          <w:szCs w:val="32"/>
        </w:rPr>
        <w:t>80.00%</w:t>
      </w:r>
      <w:r w:rsidRPr="00FC429D">
        <w:rPr>
          <w:rFonts w:ascii="Times New Roman" w:eastAsia="仿宋_GB2312" w:hAnsi="Times New Roman" w:cs="Times New Roman"/>
          <w:color w:val="000000"/>
          <w:kern w:val="0"/>
          <w:sz w:val="32"/>
          <w:szCs w:val="32"/>
        </w:rPr>
        <w:t>，且不超过</w:t>
      </w:r>
      <w:r w:rsidRPr="00FC429D">
        <w:rPr>
          <w:rFonts w:ascii="Times New Roman" w:eastAsia="仿宋_GB2312" w:hAnsi="Times New Roman" w:cs="Times New Roman"/>
          <w:color w:val="000000"/>
          <w:kern w:val="0"/>
          <w:sz w:val="32"/>
          <w:szCs w:val="32"/>
        </w:rPr>
        <w:t>125.00%</w:t>
      </w:r>
      <w:r w:rsidRPr="00FC429D">
        <w:rPr>
          <w:rFonts w:ascii="Times New Roman" w:eastAsia="仿宋_GB2312" w:hAnsi="Times New Roman" w:cs="Times New Roman"/>
          <w:color w:val="000000"/>
          <w:kern w:val="0"/>
          <w:sz w:val="32"/>
          <w:szCs w:val="32"/>
        </w:rPr>
        <w:t>。</w:t>
      </w:r>
    </w:p>
    <w:p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10" w:name="_Toc66863404"/>
      <w:bookmarkStart w:id="11" w:name="_Toc47439319"/>
      <w:r w:rsidRPr="00FC429D">
        <w:rPr>
          <w:rFonts w:ascii="Times New Roman" w:eastAsia="楷体_GB2312" w:hAnsi="Times New Roman" w:cs="Times New Roman"/>
          <w:bCs/>
          <w:sz w:val="32"/>
          <w:szCs w:val="32"/>
        </w:rPr>
        <w:t>其他</w:t>
      </w:r>
      <w:bookmarkEnd w:id="10"/>
      <w:bookmarkEnd w:id="11"/>
    </w:p>
    <w:p w:rsidR="00592FDF" w:rsidRPr="00FC429D" w:rsidRDefault="00CE0E6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kern w:val="0"/>
          <w:sz w:val="32"/>
          <w:szCs w:val="32"/>
        </w:rPr>
        <w:t>受试者应在研究期间避免性生活或采取有效避孕措施。女性受试者应为非孕期和非哺乳期的女性。</w:t>
      </w:r>
    </w:p>
    <w:p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2" w:name="_Toc66863405"/>
      <w:r w:rsidRPr="00FC429D">
        <w:rPr>
          <w:rFonts w:ascii="Times New Roman" w:eastAsia="黑体" w:hAnsi="Times New Roman" w:cs="Times New Roman"/>
          <w:bCs/>
          <w:kern w:val="44"/>
          <w:sz w:val="32"/>
          <w:szCs w:val="44"/>
        </w:rPr>
        <w:t>三、人体生物等效性研究豁免</w:t>
      </w:r>
      <w:bookmarkEnd w:id="12"/>
    </w:p>
    <w:p w:rsidR="00592FDF" w:rsidRPr="00FC429D" w:rsidRDefault="00CE0E6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若同时满足以下条件，可豁免低规格制剂的人体生物等效性研究：</w:t>
      </w:r>
      <w:r w:rsidRPr="00FC429D">
        <w:rPr>
          <w:rFonts w:ascii="Times New Roman" w:eastAsia="仿宋_GB2312" w:hAnsi="Times New Roman" w:cs="Times New Roman"/>
          <w:color w:val="000000"/>
          <w:kern w:val="0"/>
          <w:sz w:val="32"/>
          <w:szCs w:val="32"/>
        </w:rPr>
        <w:t>1</w:t>
      </w:r>
      <w:r w:rsidR="00FC429D">
        <w:rPr>
          <w:rFonts w:ascii="Times New Roman" w:eastAsia="仿宋_GB2312" w:hAnsi="Times New Roman" w:cs="Times New Roman" w:hint="eastAsia"/>
          <w:color w:val="000000"/>
          <w:kern w:val="0"/>
          <w:sz w:val="32"/>
          <w:szCs w:val="32"/>
        </w:rPr>
        <w:t>.</w:t>
      </w:r>
      <w:r w:rsidRPr="00FC429D">
        <w:rPr>
          <w:rFonts w:ascii="Times New Roman" w:eastAsia="仿宋_GB2312" w:hAnsi="Times New Roman" w:cs="Times New Roman"/>
          <w:color w:val="000000"/>
          <w:kern w:val="0"/>
          <w:sz w:val="32"/>
          <w:szCs w:val="32"/>
        </w:rPr>
        <w:t>最高规格制剂符合生物等效性要求；</w:t>
      </w:r>
      <w:r w:rsidR="00FC429D">
        <w:rPr>
          <w:rFonts w:ascii="Times New Roman" w:eastAsia="仿宋_GB2312" w:hAnsi="Times New Roman" w:cs="Times New Roman"/>
          <w:color w:val="000000"/>
          <w:kern w:val="0"/>
          <w:sz w:val="32"/>
          <w:szCs w:val="32"/>
        </w:rPr>
        <w:t>2.</w:t>
      </w:r>
      <w:r w:rsidRPr="00FC429D">
        <w:rPr>
          <w:rFonts w:ascii="Times New Roman" w:eastAsia="仿宋_GB2312" w:hAnsi="Times New Roman" w:cs="Times New Roman"/>
          <w:color w:val="000000"/>
          <w:kern w:val="0"/>
          <w:sz w:val="32"/>
          <w:szCs w:val="32"/>
        </w:rPr>
        <w:t>各规格制剂在不同</w:t>
      </w:r>
      <w:r w:rsidRPr="00FC429D">
        <w:rPr>
          <w:rFonts w:ascii="Times New Roman" w:eastAsia="仿宋_GB2312" w:hAnsi="Times New Roman" w:cs="Times New Roman"/>
          <w:color w:val="000000"/>
          <w:kern w:val="0"/>
          <w:sz w:val="32"/>
          <w:szCs w:val="32"/>
        </w:rPr>
        <w:t>pH</w:t>
      </w:r>
      <w:r w:rsidRPr="00FC429D">
        <w:rPr>
          <w:rFonts w:ascii="Times New Roman" w:eastAsia="仿宋_GB2312" w:hAnsi="Times New Roman" w:cs="Times New Roman"/>
          <w:color w:val="000000"/>
          <w:kern w:val="0"/>
          <w:sz w:val="32"/>
          <w:szCs w:val="32"/>
        </w:rPr>
        <w:t>介质中体外溶出曲线相似；</w:t>
      </w:r>
      <w:r w:rsidRPr="00FC429D">
        <w:rPr>
          <w:rFonts w:ascii="Times New Roman" w:eastAsia="仿宋_GB2312" w:hAnsi="Times New Roman" w:cs="Times New Roman"/>
          <w:color w:val="000000"/>
          <w:kern w:val="0"/>
          <w:sz w:val="32"/>
          <w:szCs w:val="32"/>
        </w:rPr>
        <w:t>3</w:t>
      </w:r>
      <w:r w:rsidR="00FC429D">
        <w:rPr>
          <w:rFonts w:ascii="Times New Roman" w:eastAsia="仿宋_GB2312" w:hAnsi="Times New Roman" w:cs="Times New Roman" w:hint="eastAsia"/>
          <w:color w:val="000000"/>
          <w:kern w:val="0"/>
          <w:sz w:val="32"/>
          <w:szCs w:val="32"/>
        </w:rPr>
        <w:t>.</w:t>
      </w:r>
      <w:r w:rsidRPr="00FC429D">
        <w:rPr>
          <w:rFonts w:ascii="Times New Roman" w:eastAsia="仿宋_GB2312" w:hAnsi="Times New Roman" w:cs="Times New Roman"/>
          <w:color w:val="000000"/>
          <w:kern w:val="0"/>
          <w:sz w:val="32"/>
          <w:szCs w:val="32"/>
        </w:rPr>
        <w:t>各规格制剂的处方比例相似。</w:t>
      </w:r>
    </w:p>
    <w:p w:rsidR="00592FDF" w:rsidRPr="00FC429D" w:rsidRDefault="00592FDF">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p>
    <w:p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3" w:name="_Toc66863406"/>
      <w:r w:rsidRPr="00FC429D">
        <w:rPr>
          <w:rFonts w:ascii="Times New Roman" w:eastAsia="黑体" w:hAnsi="Times New Roman" w:cs="Times New Roman"/>
          <w:bCs/>
          <w:kern w:val="44"/>
          <w:sz w:val="32"/>
          <w:szCs w:val="44"/>
        </w:rPr>
        <w:t>四、参考文献</w:t>
      </w:r>
      <w:bookmarkEnd w:id="13"/>
      <w:r w:rsidRPr="00FC429D">
        <w:rPr>
          <w:rFonts w:ascii="Times New Roman" w:eastAsia="黑体" w:hAnsi="Times New Roman" w:cs="Times New Roman"/>
          <w:bCs/>
          <w:kern w:val="44"/>
          <w:sz w:val="32"/>
          <w:szCs w:val="44"/>
        </w:rPr>
        <w:t xml:space="preserve"> </w:t>
      </w:r>
    </w:p>
    <w:p w:rsidR="00592FDF" w:rsidRPr="00FC429D" w:rsidRDefault="00CE0E6C"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国家药品监督管理局</w:t>
      </w:r>
      <w:r w:rsidRPr="00FC429D">
        <w:rPr>
          <w:rFonts w:ascii="Times New Roman" w:eastAsia="仿宋_GB2312" w:hAnsi="Times New Roman" w:cs="Times New Roman"/>
          <w:sz w:val="32"/>
          <w:szCs w:val="32"/>
        </w:rPr>
        <w:t xml:space="preserve">. </w:t>
      </w:r>
      <w:r w:rsidRPr="00FC429D">
        <w:rPr>
          <w:rFonts w:ascii="Times New Roman" w:eastAsia="仿宋_GB2312" w:hAnsi="Times New Roman" w:cs="Times New Roman"/>
          <w:sz w:val="32"/>
          <w:szCs w:val="32"/>
        </w:rPr>
        <w:t>盐酸厄洛替尼片说明书</w:t>
      </w:r>
      <w:r w:rsidRPr="00FC429D">
        <w:rPr>
          <w:rFonts w:ascii="Times New Roman" w:eastAsia="仿宋_GB2312" w:hAnsi="Times New Roman" w:cs="Times New Roman"/>
          <w:sz w:val="32"/>
          <w:szCs w:val="32"/>
        </w:rPr>
        <w:t xml:space="preserve">. </w:t>
      </w:r>
      <w:r w:rsidRPr="00FC429D">
        <w:rPr>
          <w:rFonts w:ascii="Times New Roman" w:eastAsia="仿宋_GB2312" w:hAnsi="Times New Roman" w:cs="Times New Roman"/>
          <w:sz w:val="32"/>
          <w:szCs w:val="32"/>
        </w:rPr>
        <w:lastRenderedPageBreak/>
        <w:t xml:space="preserve">2018. </w:t>
      </w:r>
    </w:p>
    <w:p w:rsidR="00592FDF" w:rsidRPr="00FC429D" w:rsidRDefault="00CE0E6C"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 xml:space="preserve">U.S. Food and Drug Administration. </w:t>
      </w:r>
      <w:r w:rsidRPr="004C07AD">
        <w:rPr>
          <w:rFonts w:ascii="Times New Roman" w:eastAsia="仿宋_GB2312" w:hAnsi="Times New Roman" w:cs="Times New Roman"/>
          <w:iCs/>
          <w:sz w:val="32"/>
          <w:szCs w:val="32"/>
        </w:rPr>
        <w:t>Guidance on Erlotinib Hydrochloride</w:t>
      </w:r>
      <w:r w:rsidRPr="004C07AD">
        <w:rPr>
          <w:rFonts w:ascii="Times New Roman" w:eastAsia="仿宋_GB2312" w:hAnsi="Times New Roman" w:cs="Times New Roman"/>
          <w:sz w:val="32"/>
          <w:szCs w:val="32"/>
        </w:rPr>
        <w:t>.</w:t>
      </w:r>
      <w:r w:rsidRPr="00FC429D">
        <w:rPr>
          <w:rFonts w:ascii="Times New Roman" w:eastAsia="仿宋_GB2312" w:hAnsi="Times New Roman" w:cs="Times New Roman"/>
          <w:sz w:val="32"/>
          <w:szCs w:val="32"/>
        </w:rPr>
        <w:t xml:space="preserve"> 2008.</w:t>
      </w:r>
    </w:p>
    <w:p w:rsidR="00592FDF" w:rsidRPr="00FC429D" w:rsidRDefault="00CE0E6C"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 xml:space="preserve">U.S. Food and Drug Administration. </w:t>
      </w:r>
      <w:r w:rsidRPr="00FC429D">
        <w:rPr>
          <w:rFonts w:ascii="Times New Roman" w:eastAsia="仿宋_GB2312" w:hAnsi="Times New Roman" w:cs="Times New Roman"/>
          <w:sz w:val="32"/>
          <w:szCs w:val="32"/>
        </w:rPr>
        <w:t>盐酸厄洛替尼片说明书</w:t>
      </w:r>
      <w:r w:rsidRPr="00FC429D">
        <w:rPr>
          <w:rFonts w:ascii="Times New Roman" w:eastAsia="仿宋_GB2312" w:hAnsi="Times New Roman" w:cs="Times New Roman"/>
          <w:sz w:val="32"/>
          <w:szCs w:val="32"/>
        </w:rPr>
        <w:t>. 2016.</w:t>
      </w:r>
    </w:p>
    <w:p w:rsidR="00592FDF" w:rsidRPr="00FC429D" w:rsidRDefault="00CE0E6C"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国家药品监督管理局</w:t>
      </w:r>
      <w:r w:rsidRPr="00FC429D">
        <w:rPr>
          <w:rFonts w:ascii="Times New Roman" w:eastAsia="仿宋_GB2312" w:hAnsi="Times New Roman" w:cs="Times New Roman"/>
          <w:sz w:val="32"/>
          <w:szCs w:val="32"/>
        </w:rPr>
        <w:t>.</w:t>
      </w:r>
      <w:r w:rsidRPr="00FC429D">
        <w:rPr>
          <w:rFonts w:ascii="Times New Roman" w:eastAsia="仿宋_GB2312" w:hAnsi="Times New Roman" w:cs="Times New Roman"/>
          <w:sz w:val="32"/>
          <w:szCs w:val="32"/>
        </w:rPr>
        <w:t>《以药动学参数为终点评价指标的化学药物仿制药人体生物等效性研究技术指导原则》</w:t>
      </w:r>
      <w:r w:rsidRPr="00FC429D">
        <w:rPr>
          <w:rFonts w:ascii="Times New Roman" w:eastAsia="仿宋_GB2312" w:hAnsi="Times New Roman" w:cs="Times New Roman"/>
          <w:sz w:val="32"/>
          <w:szCs w:val="32"/>
        </w:rPr>
        <w:t xml:space="preserve">. 2016. </w:t>
      </w:r>
    </w:p>
    <w:p w:rsidR="00592FDF" w:rsidRPr="00FC429D" w:rsidRDefault="00CE0E6C"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国家药品监督管理局</w:t>
      </w:r>
      <w:r w:rsidRPr="00FC429D">
        <w:rPr>
          <w:rFonts w:ascii="Times New Roman" w:eastAsia="仿宋_GB2312" w:hAnsi="Times New Roman" w:cs="Times New Roman"/>
          <w:sz w:val="32"/>
          <w:szCs w:val="32"/>
        </w:rPr>
        <w:t>.</w:t>
      </w:r>
      <w:r w:rsidRPr="00FC429D">
        <w:rPr>
          <w:rFonts w:ascii="Times New Roman" w:eastAsia="仿宋_GB2312" w:hAnsi="Times New Roman" w:cs="Times New Roman"/>
          <w:sz w:val="32"/>
          <w:szCs w:val="32"/>
        </w:rPr>
        <w:t>《生物等效性研究的统计学指导原则》</w:t>
      </w:r>
      <w:r w:rsidRPr="00FC429D">
        <w:rPr>
          <w:rFonts w:ascii="Times New Roman" w:eastAsia="仿宋_GB2312" w:hAnsi="Times New Roman" w:cs="Times New Roman"/>
          <w:sz w:val="32"/>
          <w:szCs w:val="32"/>
        </w:rPr>
        <w:t xml:space="preserve">. 2018. </w:t>
      </w:r>
    </w:p>
    <w:sectPr w:rsidR="00592FDF" w:rsidRPr="00FC429D">
      <w:footerReference w:type="default" r:id="rId9"/>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8F" w:rsidRDefault="00993B8F">
      <w:r>
        <w:separator/>
      </w:r>
    </w:p>
  </w:endnote>
  <w:endnote w:type="continuationSeparator" w:id="0">
    <w:p w:rsidR="00993B8F" w:rsidRDefault="0099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39669"/>
      <w:docPartObj>
        <w:docPartGallery w:val="AutoText"/>
      </w:docPartObj>
    </w:sdtPr>
    <w:sdtEndPr/>
    <w:sdtContent>
      <w:p w:rsidR="00592FDF" w:rsidRDefault="00CE0E6C">
        <w:pPr>
          <w:pStyle w:val="a5"/>
          <w:jc w:val="center"/>
        </w:pPr>
        <w:r>
          <w:fldChar w:fldCharType="begin"/>
        </w:r>
        <w:r>
          <w:instrText>PAGE   \* MERGEFORMAT</w:instrText>
        </w:r>
        <w:r>
          <w:fldChar w:fldCharType="separate"/>
        </w:r>
        <w:r w:rsidR="00141A5E" w:rsidRPr="00141A5E">
          <w:rPr>
            <w:noProof/>
            <w:lang w:val="zh-CN"/>
          </w:rPr>
          <w:t>3</w:t>
        </w:r>
        <w:r>
          <w:fldChar w:fldCharType="end"/>
        </w:r>
      </w:p>
    </w:sdtContent>
  </w:sdt>
  <w:p w:rsidR="00592FDF" w:rsidRDefault="00592F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8F" w:rsidRDefault="00993B8F">
      <w:r>
        <w:separator/>
      </w:r>
    </w:p>
  </w:footnote>
  <w:footnote w:type="continuationSeparator" w:id="0">
    <w:p w:rsidR="00993B8F" w:rsidRDefault="00993B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3DAE"/>
    <w:multiLevelType w:val="multilevel"/>
    <w:tmpl w:val="12DC3DAE"/>
    <w:lvl w:ilvl="0">
      <w:start w:val="1"/>
      <w:numFmt w:val="decimal"/>
      <w:lvlText w:val="%1."/>
      <w:lvlJc w:val="left"/>
      <w:pPr>
        <w:ind w:left="396" w:hanging="396"/>
      </w:pPr>
      <w:rPr>
        <w:rFonts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E932860"/>
    <w:multiLevelType w:val="multilevel"/>
    <w:tmpl w:val="7E932860"/>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2D"/>
    <w:rsid w:val="00014314"/>
    <w:rsid w:val="00067812"/>
    <w:rsid w:val="000A1A4F"/>
    <w:rsid w:val="000C0A4F"/>
    <w:rsid w:val="000C142F"/>
    <w:rsid w:val="000C1898"/>
    <w:rsid w:val="000C4CB3"/>
    <w:rsid w:val="000D0E0A"/>
    <w:rsid w:val="000D6C1D"/>
    <w:rsid w:val="000E3007"/>
    <w:rsid w:val="000F3C7F"/>
    <w:rsid w:val="0010323A"/>
    <w:rsid w:val="001054D8"/>
    <w:rsid w:val="00141A5E"/>
    <w:rsid w:val="00193CDF"/>
    <w:rsid w:val="001C6F47"/>
    <w:rsid w:val="001E2155"/>
    <w:rsid w:val="00207F6D"/>
    <w:rsid w:val="0024442D"/>
    <w:rsid w:val="00246A12"/>
    <w:rsid w:val="002A596D"/>
    <w:rsid w:val="002C1324"/>
    <w:rsid w:val="002D387B"/>
    <w:rsid w:val="002D5D3C"/>
    <w:rsid w:val="0031119F"/>
    <w:rsid w:val="00322B4B"/>
    <w:rsid w:val="003275A3"/>
    <w:rsid w:val="00345BFC"/>
    <w:rsid w:val="003526E1"/>
    <w:rsid w:val="00392E68"/>
    <w:rsid w:val="003D12FF"/>
    <w:rsid w:val="003E297A"/>
    <w:rsid w:val="003E6160"/>
    <w:rsid w:val="003F1B89"/>
    <w:rsid w:val="003F36CB"/>
    <w:rsid w:val="00434FC4"/>
    <w:rsid w:val="0048472E"/>
    <w:rsid w:val="004A565F"/>
    <w:rsid w:val="004B54E4"/>
    <w:rsid w:val="004C07AD"/>
    <w:rsid w:val="004D20B5"/>
    <w:rsid w:val="004E0F45"/>
    <w:rsid w:val="004F3B6A"/>
    <w:rsid w:val="005135E9"/>
    <w:rsid w:val="00517A35"/>
    <w:rsid w:val="00523B29"/>
    <w:rsid w:val="00540C62"/>
    <w:rsid w:val="00573853"/>
    <w:rsid w:val="00592FDF"/>
    <w:rsid w:val="005C4C7F"/>
    <w:rsid w:val="005C6C08"/>
    <w:rsid w:val="005D0989"/>
    <w:rsid w:val="005F6A52"/>
    <w:rsid w:val="00603796"/>
    <w:rsid w:val="00625562"/>
    <w:rsid w:val="00672823"/>
    <w:rsid w:val="00673674"/>
    <w:rsid w:val="00674AE2"/>
    <w:rsid w:val="006A7AF1"/>
    <w:rsid w:val="006E39C8"/>
    <w:rsid w:val="007135B9"/>
    <w:rsid w:val="00723E2A"/>
    <w:rsid w:val="007254F5"/>
    <w:rsid w:val="00770625"/>
    <w:rsid w:val="00770DFB"/>
    <w:rsid w:val="007758C3"/>
    <w:rsid w:val="00776B2E"/>
    <w:rsid w:val="00807C23"/>
    <w:rsid w:val="008400D3"/>
    <w:rsid w:val="00864A88"/>
    <w:rsid w:val="00867554"/>
    <w:rsid w:val="008A3086"/>
    <w:rsid w:val="008A72C7"/>
    <w:rsid w:val="008B046E"/>
    <w:rsid w:val="008B2F3C"/>
    <w:rsid w:val="008F0B63"/>
    <w:rsid w:val="00916D89"/>
    <w:rsid w:val="009202E4"/>
    <w:rsid w:val="009469A9"/>
    <w:rsid w:val="009713C5"/>
    <w:rsid w:val="0097517B"/>
    <w:rsid w:val="00981333"/>
    <w:rsid w:val="009930DE"/>
    <w:rsid w:val="00993B8F"/>
    <w:rsid w:val="009A4038"/>
    <w:rsid w:val="009C3588"/>
    <w:rsid w:val="009E6592"/>
    <w:rsid w:val="00A01941"/>
    <w:rsid w:val="00A07F7F"/>
    <w:rsid w:val="00A164BE"/>
    <w:rsid w:val="00A169FF"/>
    <w:rsid w:val="00A46474"/>
    <w:rsid w:val="00A63A6F"/>
    <w:rsid w:val="00A722F4"/>
    <w:rsid w:val="00A82315"/>
    <w:rsid w:val="00AA1D13"/>
    <w:rsid w:val="00AA7696"/>
    <w:rsid w:val="00AC0A65"/>
    <w:rsid w:val="00AC2382"/>
    <w:rsid w:val="00AD3A59"/>
    <w:rsid w:val="00AF6A37"/>
    <w:rsid w:val="00AF73CA"/>
    <w:rsid w:val="00B33327"/>
    <w:rsid w:val="00B337A0"/>
    <w:rsid w:val="00B754A9"/>
    <w:rsid w:val="00B76B8E"/>
    <w:rsid w:val="00B771A1"/>
    <w:rsid w:val="00BB2389"/>
    <w:rsid w:val="00BD4375"/>
    <w:rsid w:val="00BF42D3"/>
    <w:rsid w:val="00C11A6F"/>
    <w:rsid w:val="00C14054"/>
    <w:rsid w:val="00C35E18"/>
    <w:rsid w:val="00C50C74"/>
    <w:rsid w:val="00C57E1C"/>
    <w:rsid w:val="00C64143"/>
    <w:rsid w:val="00C74C17"/>
    <w:rsid w:val="00CC3C59"/>
    <w:rsid w:val="00CE0E6C"/>
    <w:rsid w:val="00CF62FC"/>
    <w:rsid w:val="00D02745"/>
    <w:rsid w:val="00D1371C"/>
    <w:rsid w:val="00D61348"/>
    <w:rsid w:val="00D734E8"/>
    <w:rsid w:val="00D833A9"/>
    <w:rsid w:val="00D83C64"/>
    <w:rsid w:val="00D96C1A"/>
    <w:rsid w:val="00DA0297"/>
    <w:rsid w:val="00DC3D60"/>
    <w:rsid w:val="00DF492D"/>
    <w:rsid w:val="00DF56C3"/>
    <w:rsid w:val="00E266CF"/>
    <w:rsid w:val="00E318EF"/>
    <w:rsid w:val="00E3743F"/>
    <w:rsid w:val="00E73DA1"/>
    <w:rsid w:val="00E9661A"/>
    <w:rsid w:val="00EA002F"/>
    <w:rsid w:val="00EB7E84"/>
    <w:rsid w:val="00EC4842"/>
    <w:rsid w:val="00ED1878"/>
    <w:rsid w:val="00EE5344"/>
    <w:rsid w:val="00F30B20"/>
    <w:rsid w:val="00F80A6B"/>
    <w:rsid w:val="00F8370F"/>
    <w:rsid w:val="00F87AAA"/>
    <w:rsid w:val="00FA035D"/>
    <w:rsid w:val="00FC429D"/>
    <w:rsid w:val="00FE6CE6"/>
    <w:rsid w:val="2215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2AE9F0-64B0-4284-89ED-37AB9E43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9">
    <w:name w:val="footnote text"/>
    <w:basedOn w:val="a"/>
    <w:link w:val="aa"/>
    <w:uiPriority w:val="99"/>
    <w:semiHidden/>
    <w:unhideWhenUsed/>
    <w:pPr>
      <w:snapToGrid w:val="0"/>
      <w:jc w:val="left"/>
    </w:pPr>
    <w:rPr>
      <w:sz w:val="18"/>
      <w:szCs w:val="18"/>
    </w:rPr>
  </w:style>
  <w:style w:type="paragraph" w:styleId="21">
    <w:name w:val="toc 2"/>
    <w:basedOn w:val="a"/>
    <w:next w:val="a"/>
    <w:uiPriority w:val="39"/>
    <w:unhideWhenUsed/>
    <w:pPr>
      <w:ind w:leftChars="200" w:left="420"/>
    </w:pPr>
  </w:style>
  <w:style w:type="character" w:styleId="ab">
    <w:name w:val="line number"/>
    <w:basedOn w:val="a0"/>
    <w:uiPriority w:val="99"/>
    <w:semiHidden/>
    <w:unhideWhenUsed/>
  </w:style>
  <w:style w:type="character" w:styleId="ac">
    <w:name w:val="Hyperlink"/>
    <w:basedOn w:val="a0"/>
    <w:uiPriority w:val="99"/>
    <w:unhideWhenUsed/>
    <w:rPr>
      <w:color w:val="0563C1" w:themeColor="hyperlink"/>
      <w:u w:val="single"/>
    </w:rPr>
  </w:style>
  <w:style w:type="character" w:styleId="ad">
    <w:name w:val="footnote reference"/>
    <w:basedOn w:val="a0"/>
    <w:uiPriority w:val="99"/>
    <w:semiHidden/>
    <w:unhideWhenUsed/>
    <w:rPr>
      <w:vertAlign w:val="superscript"/>
    </w:rPr>
  </w:style>
  <w:style w:type="character" w:customStyle="1" w:styleId="10">
    <w:name w:val="标题 1 字符"/>
    <w:basedOn w:val="a0"/>
    <w:link w:val="1"/>
    <w:uiPriority w:val="9"/>
    <w:rPr>
      <w:b/>
      <w:bCs/>
      <w:kern w:val="44"/>
      <w:sz w:val="44"/>
      <w:szCs w:val="44"/>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
    <w:name w:val="一级标题"/>
    <w:basedOn w:val="1"/>
    <w:link w:val="af0"/>
    <w:qFormat/>
    <w:pPr>
      <w:autoSpaceDE w:val="0"/>
      <w:autoSpaceDN w:val="0"/>
      <w:adjustRightInd w:val="0"/>
      <w:spacing w:after="0"/>
      <w:ind w:firstLineChars="200" w:firstLine="640"/>
    </w:pPr>
    <w:rPr>
      <w:rFonts w:ascii="Times New Roman" w:eastAsia="黑体" w:hAnsi="Times New Roman" w:cs="Times New Roman"/>
      <w:color w:val="000000"/>
      <w:sz w:val="32"/>
      <w:szCs w:val="32"/>
    </w:rPr>
  </w:style>
  <w:style w:type="character" w:customStyle="1" w:styleId="af0">
    <w:name w:val="一级标题 字符"/>
    <w:basedOn w:val="10"/>
    <w:link w:val="af"/>
    <w:rPr>
      <w:rFonts w:ascii="Times New Roman" w:eastAsia="黑体" w:hAnsi="Times New Roman" w:cs="Times New Roman"/>
      <w:b/>
      <w:bCs/>
      <w:color w:val="000000"/>
      <w:kern w:val="44"/>
      <w:sz w:val="32"/>
      <w:szCs w:val="32"/>
    </w:rPr>
  </w:style>
  <w:style w:type="paragraph" w:customStyle="1" w:styleId="af1">
    <w:name w:val="二级标题"/>
    <w:basedOn w:val="a"/>
    <w:link w:val="af2"/>
    <w:qFormat/>
    <w:pPr>
      <w:autoSpaceDE w:val="0"/>
      <w:autoSpaceDN w:val="0"/>
      <w:adjustRightInd w:val="0"/>
      <w:spacing w:line="276" w:lineRule="auto"/>
      <w:ind w:firstLineChars="200" w:firstLine="640"/>
    </w:pPr>
    <w:rPr>
      <w:rFonts w:ascii="Times New Roman" w:eastAsia="楷体" w:hAnsi="Times New Roman" w:cs="Times New Roman"/>
      <w:color w:val="000000"/>
      <w:kern w:val="0"/>
      <w:sz w:val="32"/>
      <w:szCs w:val="32"/>
    </w:rPr>
  </w:style>
  <w:style w:type="character" w:customStyle="1" w:styleId="af2">
    <w:name w:val="二级标题 字符"/>
    <w:basedOn w:val="a0"/>
    <w:link w:val="af1"/>
    <w:rPr>
      <w:rFonts w:ascii="Times New Roman" w:eastAsia="楷体" w:hAnsi="Times New Roman" w:cs="Times New Roman"/>
      <w:color w:val="000000"/>
      <w:kern w:val="0"/>
      <w:sz w:val="32"/>
      <w:szCs w:val="32"/>
    </w:rPr>
  </w:style>
  <w:style w:type="character" w:customStyle="1" w:styleId="a4">
    <w:name w:val="批注框文本 字符"/>
    <w:basedOn w:val="a0"/>
    <w:link w:val="a3"/>
    <w:uiPriority w:val="99"/>
    <w:semiHidden/>
    <w:rPr>
      <w:sz w:val="18"/>
      <w:szCs w:val="18"/>
    </w:rPr>
  </w:style>
  <w:style w:type="character" w:customStyle="1" w:styleId="aa">
    <w:name w:val="脚注文本 字符"/>
    <w:basedOn w:val="a0"/>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85172">
      <w:bodyDiv w:val="1"/>
      <w:marLeft w:val="0"/>
      <w:marRight w:val="0"/>
      <w:marTop w:val="0"/>
      <w:marBottom w:val="0"/>
      <w:divBdr>
        <w:top w:val="none" w:sz="0" w:space="0" w:color="auto"/>
        <w:left w:val="none" w:sz="0" w:space="0" w:color="auto"/>
        <w:bottom w:val="none" w:sz="0" w:space="0" w:color="auto"/>
        <w:right w:val="none" w:sz="0" w:space="0" w:color="auto"/>
      </w:divBdr>
    </w:div>
    <w:div w:id="1361279983">
      <w:bodyDiv w:val="1"/>
      <w:marLeft w:val="0"/>
      <w:marRight w:val="0"/>
      <w:marTop w:val="0"/>
      <w:marBottom w:val="0"/>
      <w:divBdr>
        <w:top w:val="none" w:sz="0" w:space="0" w:color="auto"/>
        <w:left w:val="none" w:sz="0" w:space="0" w:color="auto"/>
        <w:bottom w:val="none" w:sz="0" w:space="0" w:color="auto"/>
        <w:right w:val="none" w:sz="0" w:space="0" w:color="auto"/>
      </w:divBdr>
    </w:div>
    <w:div w:id="1547789226">
      <w:bodyDiv w:val="1"/>
      <w:marLeft w:val="0"/>
      <w:marRight w:val="0"/>
      <w:marTop w:val="0"/>
      <w:marBottom w:val="0"/>
      <w:divBdr>
        <w:top w:val="none" w:sz="0" w:space="0" w:color="auto"/>
        <w:left w:val="none" w:sz="0" w:space="0" w:color="auto"/>
        <w:bottom w:val="none" w:sz="0" w:space="0" w:color="auto"/>
        <w:right w:val="none" w:sz="0" w:space="0" w:color="auto"/>
      </w:divBdr>
    </w:div>
    <w:div w:id="195575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5B4E1-A756-42C5-8ACF-4BB1F2EB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2021-04-01T01:41:00Z</cp:lastPrinted>
  <dcterms:created xsi:type="dcterms:W3CDTF">2021-02-02T00:40:00Z</dcterms:created>
  <dcterms:modified xsi:type="dcterms:W3CDTF">2021-04-01T01:41:00Z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