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FF" w:rsidRPr="00944124" w:rsidRDefault="0044710C" w:rsidP="00944124">
      <w:pPr>
        <w:spacing w:beforeLines="100" w:before="312" w:afterLines="100" w:after="312" w:line="360" w:lineRule="auto"/>
        <w:jc w:val="center"/>
        <w:rPr>
          <w:rFonts w:ascii="方正小标宋简体" w:eastAsia="方正小标宋简体"/>
          <w:sz w:val="36"/>
          <w:szCs w:val="36"/>
        </w:rPr>
      </w:pPr>
      <w:r w:rsidRPr="00944124">
        <w:rPr>
          <w:rFonts w:ascii="方正小标宋简体" w:eastAsia="方正小标宋简体" w:hAnsi="Calibri" w:cs="Times New Roman" w:hint="eastAsia"/>
          <w:sz w:val="36"/>
          <w:szCs w:val="36"/>
        </w:rPr>
        <w:t>《</w:t>
      </w:r>
      <w:r w:rsidR="009F6B5B">
        <w:rPr>
          <w:rFonts w:ascii="方正小标宋简体" w:eastAsia="方正小标宋简体" w:hAnsi="Calibri" w:cs="Times New Roman" w:hint="eastAsia"/>
          <w:sz w:val="36"/>
          <w:szCs w:val="36"/>
        </w:rPr>
        <w:t>甲苯磺酸索拉非尼</w:t>
      </w:r>
      <w:r w:rsidR="00944124" w:rsidRPr="00944124">
        <w:rPr>
          <w:rFonts w:ascii="方正小标宋简体" w:eastAsia="方正小标宋简体" w:hAnsi="Calibri" w:cs="Times New Roman" w:hint="eastAsia"/>
          <w:sz w:val="36"/>
          <w:szCs w:val="36"/>
        </w:rPr>
        <w:t>片生物等效性研究技术指导原则</w:t>
      </w:r>
      <w:r w:rsidRPr="00944124">
        <w:rPr>
          <w:rFonts w:ascii="方正小标宋简体" w:eastAsia="方正小标宋简体" w:hAnsi="Calibri" w:cs="Times New Roman" w:hint="eastAsia"/>
          <w:sz w:val="36"/>
          <w:szCs w:val="36"/>
        </w:rPr>
        <w:t>（征求意见稿）》</w:t>
      </w:r>
      <w:r w:rsidR="002076FF" w:rsidRPr="00944124">
        <w:rPr>
          <w:rFonts w:ascii="方正小标宋简体" w:eastAsia="方正小标宋简体" w:hAnsi="Calibri" w:cs="Times New Roman" w:hint="eastAsia"/>
          <w:sz w:val="36"/>
          <w:szCs w:val="36"/>
        </w:rPr>
        <w:t>起草说明</w:t>
      </w:r>
    </w:p>
    <w:p w:rsidR="002076FF" w:rsidRPr="00010960" w:rsidRDefault="002076FF" w:rsidP="0044710C">
      <w:pPr>
        <w:adjustRightInd w:val="0"/>
        <w:snapToGrid w:val="0"/>
        <w:spacing w:line="360" w:lineRule="auto"/>
        <w:ind w:firstLineChars="200" w:firstLine="640"/>
        <w:rPr>
          <w:rFonts w:ascii="Times New Roman" w:hAnsi="Times New Roman" w:cs="Times New Roman"/>
          <w:color w:val="000000"/>
          <w:kern w:val="0"/>
          <w:szCs w:val="32"/>
        </w:rPr>
      </w:pPr>
      <w:r w:rsidRPr="00B70F9D">
        <w:rPr>
          <w:rFonts w:ascii="Times New Roman" w:hAnsi="Times New Roman" w:cs="Times New Roman"/>
          <w:color w:val="000000"/>
          <w:szCs w:val="32"/>
        </w:rPr>
        <w:t>为</w:t>
      </w:r>
      <w:r w:rsidR="00AC66E9">
        <w:rPr>
          <w:rFonts w:ascii="Times New Roman" w:hAnsi="Times New Roman" w:cs="Times New Roman" w:hint="eastAsia"/>
          <w:color w:val="000000"/>
          <w:szCs w:val="32"/>
        </w:rPr>
        <w:t>构建</w:t>
      </w:r>
      <w:r w:rsidR="00AC66E9">
        <w:rPr>
          <w:rFonts w:ascii="Times New Roman" w:hAnsi="Times New Roman" w:cs="Times New Roman"/>
          <w:color w:val="000000"/>
          <w:szCs w:val="32"/>
        </w:rPr>
        <w:t>以指导原则</w:t>
      </w:r>
      <w:r w:rsidR="00AC66E9">
        <w:rPr>
          <w:rFonts w:ascii="Times New Roman" w:hAnsi="Times New Roman" w:cs="Times New Roman" w:hint="eastAsia"/>
          <w:color w:val="000000"/>
          <w:szCs w:val="32"/>
        </w:rPr>
        <w:t>为</w:t>
      </w:r>
      <w:r w:rsidR="00AC66E9">
        <w:rPr>
          <w:rFonts w:ascii="Times New Roman" w:hAnsi="Times New Roman" w:cs="Times New Roman"/>
          <w:color w:val="000000"/>
          <w:szCs w:val="32"/>
        </w:rPr>
        <w:t>核心的审评标准体系，</w:t>
      </w:r>
      <w:r w:rsidR="00AC66E9">
        <w:rPr>
          <w:rFonts w:ascii="Times New Roman" w:hAnsi="Times New Roman" w:cs="Times New Roman" w:hint="eastAsia"/>
          <w:color w:val="000000"/>
          <w:szCs w:val="32"/>
        </w:rPr>
        <w:t>进一步</w:t>
      </w:r>
      <w:r w:rsidR="004C6DE0" w:rsidRPr="00B70F9D">
        <w:rPr>
          <w:rFonts w:ascii="Times New Roman" w:hAnsi="Times New Roman" w:cs="Times New Roman" w:hint="eastAsia"/>
          <w:color w:val="000000"/>
          <w:szCs w:val="32"/>
        </w:rPr>
        <w:t>规范</w:t>
      </w:r>
      <w:r w:rsidR="009F6B5B">
        <w:rPr>
          <w:rFonts w:ascii="Times New Roman" w:hAnsi="Times New Roman" w:cs="Times New Roman" w:hint="eastAsia"/>
          <w:color w:val="000000"/>
          <w:szCs w:val="32"/>
        </w:rPr>
        <w:t>甲苯磺酸索拉非尼片</w:t>
      </w:r>
      <w:r w:rsidR="00B70F9D" w:rsidRPr="00B70F9D">
        <w:rPr>
          <w:rFonts w:ascii="Times New Roman" w:hAnsi="Times New Roman" w:cs="Times New Roman" w:hint="eastAsia"/>
          <w:color w:val="000000"/>
          <w:szCs w:val="32"/>
        </w:rPr>
        <w:t>生物等效性研究</w:t>
      </w:r>
      <w:r w:rsidR="00B70F9D">
        <w:rPr>
          <w:rFonts w:ascii="Times New Roman" w:hAnsi="Times New Roman" w:cs="Times New Roman" w:hint="eastAsia"/>
          <w:color w:val="000000"/>
          <w:szCs w:val="32"/>
        </w:rPr>
        <w:t>，</w:t>
      </w:r>
      <w:r w:rsidRPr="00010960">
        <w:rPr>
          <w:rFonts w:ascii="Times New Roman" w:hAnsi="Times New Roman" w:cs="Times New Roman"/>
          <w:color w:val="000000"/>
          <w:szCs w:val="32"/>
        </w:rPr>
        <w:t>药品审评中心组织起草了</w:t>
      </w:r>
      <w:r w:rsidR="002B56A4" w:rsidRPr="00010960">
        <w:rPr>
          <w:rFonts w:ascii="Times New Roman" w:hAnsi="Times New Roman" w:cs="Times New Roman"/>
          <w:color w:val="000000"/>
          <w:szCs w:val="32"/>
        </w:rPr>
        <w:t>《</w:t>
      </w:r>
      <w:r w:rsidR="009F6B5B" w:rsidRPr="009F6B5B">
        <w:rPr>
          <w:rFonts w:ascii="Times New Roman" w:hAnsi="Times New Roman" w:cs="Times New Roman" w:hint="eastAsia"/>
          <w:color w:val="000000"/>
          <w:szCs w:val="32"/>
        </w:rPr>
        <w:t>甲苯磺酸索拉非尼片</w:t>
      </w:r>
      <w:r w:rsidR="00010960" w:rsidRPr="00010960">
        <w:rPr>
          <w:rFonts w:ascii="Times New Roman" w:hAnsi="Times New Roman" w:cs="Times New Roman" w:hint="eastAsia"/>
          <w:color w:val="000000"/>
          <w:szCs w:val="32"/>
        </w:rPr>
        <w:t>生物等效性研究技术指导原则</w:t>
      </w:r>
      <w:r w:rsidR="002B56A4" w:rsidRPr="00010960">
        <w:rPr>
          <w:rFonts w:ascii="Times New Roman" w:hAnsi="Times New Roman" w:cs="Times New Roman"/>
          <w:color w:val="000000"/>
          <w:szCs w:val="32"/>
        </w:rPr>
        <w:t>》</w:t>
      </w:r>
      <w:r w:rsidR="005C0F13" w:rsidRPr="00010960">
        <w:rPr>
          <w:rFonts w:ascii="Times New Roman" w:hAnsi="Times New Roman" w:cs="Times New Roman"/>
          <w:color w:val="000000"/>
          <w:szCs w:val="32"/>
        </w:rPr>
        <w:t>，</w:t>
      </w:r>
      <w:r w:rsidR="00C73549">
        <w:rPr>
          <w:rFonts w:ascii="Times New Roman" w:hAnsi="Times New Roman" w:cs="Times New Roman"/>
          <w:color w:val="000000"/>
          <w:szCs w:val="32"/>
        </w:rPr>
        <w:t>经中心内部讨论</w:t>
      </w:r>
      <w:r w:rsidR="00FA29BF">
        <w:rPr>
          <w:rFonts w:ascii="Times New Roman" w:hAnsi="Times New Roman" w:cs="Times New Roman"/>
          <w:color w:val="000000"/>
          <w:szCs w:val="32"/>
        </w:rPr>
        <w:t>并征求</w:t>
      </w:r>
      <w:r w:rsidR="005C0F13" w:rsidRPr="00010960">
        <w:rPr>
          <w:rFonts w:ascii="Times New Roman" w:hAnsi="Times New Roman" w:cs="Times New Roman"/>
          <w:color w:val="000000"/>
          <w:szCs w:val="32"/>
        </w:rPr>
        <w:t>专家意见，形成征求意见稿</w:t>
      </w:r>
      <w:r w:rsidRPr="00010960">
        <w:rPr>
          <w:rFonts w:ascii="Times New Roman" w:hAnsi="Times New Roman" w:cs="Times New Roman"/>
          <w:color w:val="000000"/>
          <w:szCs w:val="32"/>
        </w:rPr>
        <w:t>。现将有关情况说明如下：</w:t>
      </w:r>
    </w:p>
    <w:p w:rsidR="002076FF" w:rsidRPr="00E727A9" w:rsidRDefault="002076FF" w:rsidP="0044710C">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color w:val="000000"/>
          <w:szCs w:val="32"/>
        </w:rPr>
        <w:t>一、背景和目的</w:t>
      </w:r>
    </w:p>
    <w:p w:rsidR="00A44F56" w:rsidRPr="00944124" w:rsidRDefault="009F6B5B" w:rsidP="00A44F56">
      <w:pPr>
        <w:autoSpaceDE w:val="0"/>
        <w:autoSpaceDN w:val="0"/>
        <w:adjustRightInd w:val="0"/>
        <w:snapToGrid w:val="0"/>
        <w:spacing w:line="360" w:lineRule="auto"/>
        <w:ind w:firstLineChars="200" w:firstLine="640"/>
        <w:rPr>
          <w:rFonts w:ascii="Times New Roman" w:hAnsi="Times New Roman" w:cs="Times New Roman"/>
          <w:color w:val="000000"/>
          <w:szCs w:val="32"/>
          <w:highlight w:val="lightGray"/>
        </w:rPr>
      </w:pPr>
      <w:r w:rsidRPr="009F6B5B">
        <w:rPr>
          <w:rFonts w:ascii="Times New Roman" w:hAnsi="Times New Roman" w:cs="Times New Roman" w:hint="eastAsia"/>
          <w:color w:val="000000"/>
          <w:szCs w:val="32"/>
        </w:rPr>
        <w:t>甲苯磺酸索拉非尼片（</w:t>
      </w:r>
      <w:r w:rsidRPr="009F6B5B">
        <w:rPr>
          <w:rFonts w:ascii="Times New Roman" w:hAnsi="Times New Roman" w:cs="Times New Roman"/>
          <w:color w:val="000000"/>
          <w:szCs w:val="32"/>
        </w:rPr>
        <w:t>Sorafenib Tosylate Tablets</w:t>
      </w:r>
      <w:r w:rsidRPr="009F6B5B">
        <w:rPr>
          <w:rFonts w:ascii="Times New Roman" w:hAnsi="Times New Roman" w:cs="Times New Roman"/>
          <w:color w:val="000000"/>
          <w:szCs w:val="32"/>
        </w:rPr>
        <w:t>）用于治疗不能手术的晚期肾细胞癌、无法手术或远处转移的肝细胞癌和局部复发或转移的进展性的放射性碘难治性分化型甲状腺癌。主要成份为甲苯磺酸索拉非尼。根据原研说明书，本品用法为空腹或伴低脂、中脂饮食服用。</w:t>
      </w:r>
      <w:r w:rsidR="00A44F56" w:rsidRPr="00455F5D">
        <w:rPr>
          <w:rFonts w:ascii="Times New Roman" w:hAnsi="Times New Roman" w:cs="Times New Roman" w:hint="eastAsia"/>
          <w:color w:val="000000"/>
          <w:szCs w:val="32"/>
        </w:rPr>
        <w:t>目前</w:t>
      </w:r>
      <w:r w:rsidR="00A44F56" w:rsidRPr="00455F5D">
        <w:rPr>
          <w:rFonts w:ascii="Times New Roman" w:hAnsi="Times New Roman" w:cs="Times New Roman"/>
          <w:color w:val="000000"/>
          <w:szCs w:val="32"/>
        </w:rPr>
        <w:t>，我</w:t>
      </w:r>
      <w:r w:rsidR="00A44F56" w:rsidRPr="00455F5D">
        <w:rPr>
          <w:rFonts w:ascii="Times New Roman" w:hAnsi="Times New Roman" w:cs="Times New Roman" w:hint="eastAsia"/>
          <w:color w:val="000000"/>
          <w:szCs w:val="32"/>
        </w:rPr>
        <w:t>国尚无</w:t>
      </w:r>
      <w:r w:rsidR="00455F5D">
        <w:rPr>
          <w:rFonts w:ascii="Times New Roman" w:hAnsi="Times New Roman" w:cs="Times New Roman" w:hint="eastAsia"/>
          <w:color w:val="000000"/>
          <w:szCs w:val="32"/>
        </w:rPr>
        <w:t>本品</w:t>
      </w:r>
      <w:r w:rsidR="00455F5D" w:rsidRPr="00455F5D">
        <w:rPr>
          <w:rFonts w:ascii="Times New Roman" w:hAnsi="Times New Roman" w:cs="Times New Roman" w:hint="eastAsia"/>
          <w:color w:val="000000"/>
          <w:szCs w:val="32"/>
        </w:rPr>
        <w:t>生物等效性研究</w:t>
      </w:r>
      <w:r w:rsidR="00A44F56" w:rsidRPr="00455F5D">
        <w:rPr>
          <w:rFonts w:ascii="Times New Roman" w:hAnsi="Times New Roman" w:cs="Times New Roman"/>
          <w:color w:val="000000"/>
          <w:szCs w:val="32"/>
        </w:rPr>
        <w:t>技术指导原则</w:t>
      </w:r>
      <w:r w:rsidR="00A44F56" w:rsidRPr="00455F5D">
        <w:rPr>
          <w:rFonts w:ascii="Times New Roman" w:hAnsi="Times New Roman" w:cs="Times New Roman" w:hint="eastAsia"/>
          <w:color w:val="000000"/>
          <w:szCs w:val="32"/>
        </w:rPr>
        <w:t>。</w:t>
      </w:r>
      <w:r w:rsidR="00455F5D" w:rsidRPr="00B70F9D">
        <w:rPr>
          <w:rFonts w:ascii="Times New Roman" w:hAnsi="Times New Roman" w:cs="Times New Roman"/>
          <w:color w:val="000000"/>
          <w:szCs w:val="32"/>
        </w:rPr>
        <w:t>为</w:t>
      </w:r>
      <w:r w:rsidR="00E57577">
        <w:rPr>
          <w:rFonts w:ascii="Times New Roman" w:hAnsi="Times New Roman" w:cs="Times New Roman" w:hint="eastAsia"/>
          <w:color w:val="000000"/>
          <w:szCs w:val="32"/>
        </w:rPr>
        <w:t>进一步</w:t>
      </w:r>
      <w:r w:rsidR="00455F5D" w:rsidRPr="00B70F9D">
        <w:rPr>
          <w:rFonts w:ascii="Times New Roman" w:hAnsi="Times New Roman" w:cs="Times New Roman" w:hint="eastAsia"/>
          <w:color w:val="000000"/>
          <w:szCs w:val="32"/>
        </w:rPr>
        <w:t>规范</w:t>
      </w:r>
      <w:r w:rsidRPr="009F6B5B">
        <w:rPr>
          <w:rFonts w:ascii="Times New Roman" w:hAnsi="Times New Roman" w:cs="Times New Roman" w:hint="eastAsia"/>
          <w:color w:val="000000"/>
          <w:szCs w:val="32"/>
        </w:rPr>
        <w:t>甲苯磺酸索拉非尼片</w:t>
      </w:r>
      <w:r w:rsidR="00455F5D" w:rsidRPr="00455F5D">
        <w:rPr>
          <w:rFonts w:ascii="Times New Roman" w:hAnsi="Times New Roman" w:cs="Times New Roman" w:hint="eastAsia"/>
          <w:color w:val="000000"/>
          <w:szCs w:val="32"/>
        </w:rPr>
        <w:t>生物等效性研究，</w:t>
      </w:r>
      <w:r w:rsidR="00A44F56" w:rsidRPr="00455F5D">
        <w:rPr>
          <w:rFonts w:ascii="Times New Roman" w:hAnsi="Times New Roman" w:cs="Times New Roman" w:hint="eastAsia"/>
          <w:color w:val="000000"/>
          <w:szCs w:val="32"/>
        </w:rPr>
        <w:t>药审中心</w:t>
      </w:r>
      <w:r w:rsidR="00A44F56" w:rsidRPr="00455F5D">
        <w:rPr>
          <w:rFonts w:ascii="Times New Roman" w:hAnsi="Times New Roman" w:cs="Times New Roman"/>
          <w:color w:val="000000"/>
          <w:szCs w:val="32"/>
        </w:rPr>
        <w:t>组织起草了本指导原则，以</w:t>
      </w:r>
      <w:r w:rsidR="00A44F56" w:rsidRPr="00455F5D">
        <w:rPr>
          <w:rFonts w:ascii="Times New Roman" w:hAnsi="Times New Roman" w:cs="Times New Roman" w:hint="eastAsia"/>
          <w:color w:val="000000"/>
          <w:szCs w:val="32"/>
        </w:rPr>
        <w:t>期</w:t>
      </w:r>
      <w:r w:rsidR="00A44F56" w:rsidRPr="00455F5D">
        <w:rPr>
          <w:rFonts w:ascii="Times New Roman" w:hAnsi="Times New Roman" w:cs="Times New Roman"/>
          <w:color w:val="000000"/>
          <w:szCs w:val="32"/>
        </w:rPr>
        <w:t>为</w:t>
      </w:r>
      <w:r w:rsidRPr="009F6B5B">
        <w:rPr>
          <w:rFonts w:ascii="Times New Roman" w:hAnsi="Times New Roman" w:cs="Times New Roman" w:hint="eastAsia"/>
          <w:color w:val="000000"/>
          <w:szCs w:val="32"/>
        </w:rPr>
        <w:t>甲苯磺酸索拉非尼片</w:t>
      </w:r>
      <w:r w:rsidR="00455F5D" w:rsidRPr="00455F5D">
        <w:rPr>
          <w:rFonts w:ascii="Times New Roman" w:hAnsi="Times New Roman" w:cs="Times New Roman" w:hint="eastAsia"/>
          <w:color w:val="000000"/>
          <w:szCs w:val="32"/>
        </w:rPr>
        <w:t>生物等效性研究提供</w:t>
      </w:r>
      <w:r w:rsidR="000E056F">
        <w:rPr>
          <w:rFonts w:ascii="Times New Roman" w:hAnsi="Times New Roman" w:cs="Times New Roman" w:hint="eastAsia"/>
          <w:color w:val="000000"/>
          <w:szCs w:val="32"/>
        </w:rPr>
        <w:t>技术</w:t>
      </w:r>
      <w:r w:rsidR="00455F5D" w:rsidRPr="00455F5D">
        <w:rPr>
          <w:rFonts w:ascii="Times New Roman" w:hAnsi="Times New Roman" w:cs="Times New Roman"/>
          <w:color w:val="000000"/>
          <w:szCs w:val="32"/>
        </w:rPr>
        <w:t>指导</w:t>
      </w:r>
      <w:r w:rsidR="00A44F56" w:rsidRPr="00455F5D">
        <w:rPr>
          <w:rFonts w:ascii="Times New Roman" w:hAnsi="Times New Roman" w:cs="Times New Roman" w:hint="eastAsia"/>
          <w:color w:val="000000"/>
          <w:szCs w:val="32"/>
        </w:rPr>
        <w:t>。</w:t>
      </w:r>
    </w:p>
    <w:p w:rsidR="002076FF" w:rsidRPr="00E727A9" w:rsidRDefault="0044710C" w:rsidP="00E727A9">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hint="eastAsia"/>
          <w:color w:val="000000"/>
          <w:szCs w:val="32"/>
        </w:rPr>
        <w:t>二</w:t>
      </w:r>
      <w:r w:rsidRPr="00E727A9">
        <w:rPr>
          <w:rFonts w:ascii="黑体" w:eastAsia="黑体" w:hAnsi="黑体" w:cs="Times New Roman"/>
          <w:color w:val="000000"/>
          <w:szCs w:val="32"/>
        </w:rPr>
        <w:t>、</w:t>
      </w:r>
      <w:r w:rsidR="002076FF" w:rsidRPr="00E727A9">
        <w:rPr>
          <w:rFonts w:ascii="黑体" w:eastAsia="黑体" w:hAnsi="黑体" w:cs="Times New Roman"/>
          <w:color w:val="000000"/>
          <w:szCs w:val="32"/>
        </w:rPr>
        <w:t>起草过程</w:t>
      </w:r>
    </w:p>
    <w:p w:rsidR="002076FF" w:rsidRPr="003C3832" w:rsidRDefault="002076FF" w:rsidP="00780EF2">
      <w:pPr>
        <w:adjustRightInd w:val="0"/>
        <w:snapToGrid w:val="0"/>
        <w:spacing w:line="360" w:lineRule="auto"/>
        <w:ind w:firstLineChars="200" w:firstLine="640"/>
        <w:rPr>
          <w:rFonts w:ascii="Times New Roman" w:hAnsi="Times New Roman" w:cs="Times New Roman"/>
          <w:color w:val="000000"/>
          <w:szCs w:val="32"/>
        </w:rPr>
      </w:pPr>
      <w:r w:rsidRPr="00B70E9A">
        <w:rPr>
          <w:rFonts w:ascii="Times New Roman" w:hAnsi="Times New Roman" w:cs="Times New Roman"/>
          <w:color w:val="000000"/>
          <w:szCs w:val="32"/>
        </w:rPr>
        <w:t>本指导原则由</w:t>
      </w:r>
      <w:r w:rsidR="002B56A4" w:rsidRPr="00B70E9A">
        <w:rPr>
          <w:rFonts w:ascii="Times New Roman" w:hAnsi="Times New Roman" w:cs="Times New Roman"/>
          <w:color w:val="000000"/>
          <w:szCs w:val="32"/>
        </w:rPr>
        <w:t>统计与临床药理学部</w:t>
      </w:r>
      <w:r w:rsidRPr="003C3832">
        <w:rPr>
          <w:rFonts w:ascii="Times New Roman" w:hAnsi="Times New Roman" w:cs="Times New Roman"/>
          <w:color w:val="000000"/>
          <w:szCs w:val="32"/>
        </w:rPr>
        <w:t>牵头，</w:t>
      </w:r>
      <w:r w:rsidR="00780EF2">
        <w:rPr>
          <w:rFonts w:ascii="Times New Roman" w:hAnsi="Times New Roman" w:cs="Times New Roman"/>
          <w:szCs w:val="32"/>
        </w:rPr>
        <w:t>纳入</w:t>
      </w:r>
      <w:r w:rsidR="00024553">
        <w:rPr>
          <w:rFonts w:ascii="Times New Roman" w:hAnsi="Times New Roman" w:cs="Times New Roman" w:hint="eastAsia"/>
          <w:szCs w:val="32"/>
        </w:rPr>
        <w:t>了中心</w:t>
      </w:r>
      <w:r w:rsidR="009F6B5B">
        <w:rPr>
          <w:rFonts w:ascii="Times New Roman" w:hAnsi="Times New Roman" w:cs="Times New Roman" w:hint="eastAsia"/>
          <w:szCs w:val="32"/>
        </w:rPr>
        <w:t>2021</w:t>
      </w:r>
      <w:r w:rsidR="00780EF2">
        <w:rPr>
          <w:rFonts w:ascii="Times New Roman" w:hAnsi="Times New Roman" w:cs="Times New Roman" w:hint="eastAsia"/>
          <w:szCs w:val="32"/>
        </w:rPr>
        <w:t>年</w:t>
      </w:r>
      <w:r w:rsidR="00780EF2">
        <w:rPr>
          <w:rFonts w:ascii="Times New Roman" w:hAnsi="Times New Roman" w:cs="Times New Roman"/>
          <w:szCs w:val="32"/>
        </w:rPr>
        <w:t>指导原则制修订计划</w:t>
      </w:r>
      <w:r w:rsidR="00780EF2">
        <w:rPr>
          <w:rFonts w:ascii="Times New Roman" w:hAnsi="Times New Roman" w:cs="Times New Roman" w:hint="eastAsia"/>
          <w:szCs w:val="32"/>
        </w:rPr>
        <w:t>。</w:t>
      </w:r>
      <w:r w:rsidR="00E76CFA" w:rsidRPr="003C3832">
        <w:rPr>
          <w:rFonts w:ascii="Times New Roman" w:hAnsi="Times New Roman" w:cs="Times New Roman" w:hint="eastAsia"/>
          <w:color w:val="000000"/>
          <w:szCs w:val="32"/>
        </w:rPr>
        <w:t>核心工作组</w:t>
      </w:r>
      <w:r w:rsidR="00780EF2">
        <w:rPr>
          <w:rFonts w:ascii="Times New Roman" w:hAnsi="Times New Roman" w:cs="Times New Roman" w:hint="eastAsia"/>
          <w:color w:val="000000"/>
          <w:szCs w:val="32"/>
        </w:rPr>
        <w:t>成员经充分</w:t>
      </w:r>
      <w:r w:rsidR="00780EF2">
        <w:rPr>
          <w:rFonts w:ascii="Times New Roman" w:hAnsi="Times New Roman" w:cs="Times New Roman"/>
          <w:color w:val="000000"/>
          <w:szCs w:val="32"/>
        </w:rPr>
        <w:t>研究</w:t>
      </w:r>
      <w:r w:rsidR="00780EF2">
        <w:rPr>
          <w:rFonts w:ascii="Times New Roman" w:hAnsi="Times New Roman" w:cs="Times New Roman" w:hint="eastAsia"/>
          <w:color w:val="000000"/>
          <w:szCs w:val="32"/>
        </w:rPr>
        <w:t>后，</w:t>
      </w:r>
      <w:r w:rsidR="00E76CFA" w:rsidRPr="003C3832">
        <w:rPr>
          <w:rFonts w:ascii="Times New Roman" w:hAnsi="Times New Roman" w:cs="Times New Roman" w:hint="eastAsia"/>
          <w:color w:val="000000"/>
          <w:szCs w:val="32"/>
        </w:rPr>
        <w:t>于</w:t>
      </w:r>
      <w:r w:rsidR="009F6B5B">
        <w:rPr>
          <w:rFonts w:ascii="Times New Roman" w:hAnsi="Times New Roman" w:cs="Times New Roman"/>
          <w:color w:val="000000"/>
          <w:szCs w:val="32"/>
        </w:rPr>
        <w:t>2021</w:t>
      </w:r>
      <w:r w:rsidRPr="003C3832">
        <w:rPr>
          <w:rFonts w:ascii="Times New Roman" w:hAnsi="Times New Roman" w:cs="Times New Roman"/>
          <w:color w:val="000000"/>
          <w:szCs w:val="32"/>
        </w:rPr>
        <w:t>年</w:t>
      </w:r>
      <w:r w:rsidR="009F6B5B">
        <w:rPr>
          <w:rFonts w:ascii="Times New Roman" w:hAnsi="Times New Roman" w:cs="Times New Roman"/>
          <w:color w:val="000000"/>
          <w:szCs w:val="32"/>
        </w:rPr>
        <w:t>3</w:t>
      </w:r>
      <w:r w:rsidRPr="003C3832">
        <w:rPr>
          <w:rFonts w:ascii="Times New Roman" w:hAnsi="Times New Roman" w:cs="Times New Roman"/>
          <w:color w:val="000000"/>
          <w:szCs w:val="32"/>
        </w:rPr>
        <w:t>月形成初稿</w:t>
      </w:r>
      <w:r w:rsidR="00E76CFA" w:rsidRPr="003C3832">
        <w:rPr>
          <w:rFonts w:ascii="Times New Roman" w:hAnsi="Times New Roman" w:cs="Times New Roman"/>
          <w:color w:val="000000"/>
          <w:szCs w:val="32"/>
        </w:rPr>
        <w:t>并</w:t>
      </w:r>
      <w:r w:rsidR="00780EF2">
        <w:rPr>
          <w:rFonts w:ascii="Times New Roman" w:hAnsi="Times New Roman" w:cs="Times New Roman" w:hint="eastAsia"/>
          <w:color w:val="000000"/>
          <w:szCs w:val="32"/>
        </w:rPr>
        <w:t>组织</w:t>
      </w:r>
      <w:r w:rsidR="00E76CFA" w:rsidRPr="003C3832">
        <w:rPr>
          <w:rFonts w:ascii="Times New Roman" w:hAnsi="Times New Roman" w:cs="Times New Roman" w:hint="eastAsia"/>
          <w:color w:val="000000"/>
          <w:szCs w:val="32"/>
        </w:rPr>
        <w:t>召开</w:t>
      </w:r>
      <w:r w:rsidR="00780EF2">
        <w:rPr>
          <w:rFonts w:ascii="Times New Roman" w:hAnsi="Times New Roman" w:cs="Times New Roman" w:hint="eastAsia"/>
          <w:color w:val="000000"/>
          <w:szCs w:val="32"/>
        </w:rPr>
        <w:t>改稿会</w:t>
      </w:r>
      <w:r w:rsidR="00780EF2">
        <w:rPr>
          <w:rFonts w:ascii="Times New Roman" w:hAnsi="Times New Roman" w:cs="Times New Roman"/>
          <w:color w:val="000000"/>
          <w:szCs w:val="32"/>
        </w:rPr>
        <w:t>，</w:t>
      </w:r>
      <w:r w:rsidR="00780EF2">
        <w:rPr>
          <w:rFonts w:ascii="Times New Roman" w:hAnsi="Times New Roman" w:cs="Times New Roman" w:hint="eastAsia"/>
          <w:color w:val="000000"/>
          <w:szCs w:val="32"/>
        </w:rPr>
        <w:t>结合</w:t>
      </w:r>
      <w:r w:rsidR="00780EF2">
        <w:rPr>
          <w:rFonts w:ascii="Times New Roman" w:hAnsi="Times New Roman" w:cs="Times New Roman"/>
          <w:color w:val="000000"/>
          <w:szCs w:val="32"/>
        </w:rPr>
        <w:t>参会专家</w:t>
      </w:r>
      <w:r w:rsidR="00780EF2">
        <w:rPr>
          <w:rFonts w:ascii="Times New Roman" w:hAnsi="Times New Roman" w:cs="Times New Roman" w:hint="eastAsia"/>
          <w:color w:val="000000"/>
          <w:szCs w:val="32"/>
        </w:rPr>
        <w:lastRenderedPageBreak/>
        <w:t>意见</w:t>
      </w:r>
      <w:r w:rsidR="002A683D">
        <w:rPr>
          <w:rFonts w:ascii="Times New Roman" w:hAnsi="Times New Roman" w:cs="Times New Roman" w:hint="eastAsia"/>
          <w:color w:val="000000"/>
          <w:szCs w:val="32"/>
        </w:rPr>
        <w:t>以及</w:t>
      </w:r>
      <w:r w:rsidRPr="003C3832">
        <w:rPr>
          <w:rFonts w:ascii="Times New Roman" w:hAnsi="Times New Roman" w:cs="Times New Roman"/>
          <w:color w:val="000000"/>
          <w:szCs w:val="32"/>
        </w:rPr>
        <w:t>中心内部</w:t>
      </w:r>
      <w:r w:rsidR="004F2B72">
        <w:rPr>
          <w:rFonts w:ascii="Times New Roman" w:hAnsi="Times New Roman" w:cs="Times New Roman" w:hint="eastAsia"/>
          <w:color w:val="000000"/>
          <w:szCs w:val="32"/>
        </w:rPr>
        <w:t>反馈</w:t>
      </w:r>
      <w:r w:rsidR="004F2B72">
        <w:rPr>
          <w:rFonts w:ascii="Times New Roman" w:hAnsi="Times New Roman" w:cs="Times New Roman"/>
          <w:color w:val="000000"/>
          <w:szCs w:val="32"/>
        </w:rPr>
        <w:t>意见</w:t>
      </w:r>
      <w:r w:rsidR="0044710C" w:rsidRPr="003C3832">
        <w:rPr>
          <w:rFonts w:ascii="Times New Roman" w:hAnsi="Times New Roman" w:cs="Times New Roman"/>
          <w:color w:val="000000"/>
          <w:szCs w:val="32"/>
        </w:rPr>
        <w:t>，</w:t>
      </w:r>
      <w:r w:rsidR="004F2B72">
        <w:rPr>
          <w:rFonts w:ascii="Times New Roman" w:hAnsi="Times New Roman" w:cs="Times New Roman" w:hint="eastAsia"/>
          <w:color w:val="000000"/>
          <w:szCs w:val="32"/>
        </w:rPr>
        <w:t>并</w:t>
      </w:r>
      <w:r w:rsidR="00780EF2">
        <w:rPr>
          <w:rFonts w:ascii="Times New Roman" w:hAnsi="Times New Roman" w:cs="Times New Roman" w:hint="eastAsia"/>
          <w:color w:val="000000"/>
          <w:szCs w:val="32"/>
        </w:rPr>
        <w:t>经</w:t>
      </w:r>
      <w:r w:rsidR="002A683D">
        <w:rPr>
          <w:rFonts w:ascii="Times New Roman" w:hAnsi="Times New Roman" w:cs="Times New Roman" w:hint="eastAsia"/>
          <w:color w:val="000000"/>
          <w:szCs w:val="32"/>
        </w:rPr>
        <w:t>部门</w:t>
      </w:r>
      <w:r w:rsidR="0044710C" w:rsidRPr="003C3832">
        <w:rPr>
          <w:rFonts w:ascii="Times New Roman" w:hAnsi="Times New Roman" w:cs="Times New Roman"/>
          <w:color w:val="000000"/>
          <w:szCs w:val="32"/>
        </w:rPr>
        <w:t>技术委员会审核，</w:t>
      </w:r>
      <w:r w:rsidRPr="003C3832">
        <w:rPr>
          <w:rFonts w:ascii="Times New Roman" w:hAnsi="Times New Roman" w:cs="Times New Roman"/>
          <w:color w:val="000000"/>
          <w:szCs w:val="32"/>
        </w:rPr>
        <w:t>形成征求意见稿。</w:t>
      </w:r>
    </w:p>
    <w:p w:rsidR="002076FF" w:rsidRPr="00E727A9" w:rsidRDefault="002076FF" w:rsidP="00E727A9">
      <w:pPr>
        <w:adjustRightInd w:val="0"/>
        <w:snapToGrid w:val="0"/>
        <w:spacing w:line="360" w:lineRule="auto"/>
        <w:ind w:firstLineChars="196" w:firstLine="627"/>
        <w:rPr>
          <w:rFonts w:ascii="黑体" w:eastAsia="黑体" w:hAnsi="黑体" w:cs="Times New Roman"/>
          <w:color w:val="000000"/>
          <w:szCs w:val="32"/>
        </w:rPr>
      </w:pPr>
      <w:r w:rsidRPr="00E727A9">
        <w:rPr>
          <w:rFonts w:ascii="黑体" w:eastAsia="黑体" w:hAnsi="黑体" w:cs="Times New Roman"/>
          <w:color w:val="000000"/>
          <w:szCs w:val="32"/>
        </w:rPr>
        <w:t>三、主要内容与说明</w:t>
      </w:r>
    </w:p>
    <w:p w:rsidR="0044710C" w:rsidRPr="0044710C" w:rsidRDefault="00B70F9D" w:rsidP="000E056F">
      <w:pPr>
        <w:adjustRightInd w:val="0"/>
        <w:snapToGrid w:val="0"/>
        <w:spacing w:line="360" w:lineRule="auto"/>
        <w:ind w:firstLineChars="200" w:firstLine="640"/>
        <w:rPr>
          <w:rFonts w:ascii="Times New Roman" w:hAnsi="Times New Roman" w:cs="Times New Roman"/>
          <w:color w:val="000000"/>
          <w:kern w:val="0"/>
          <w:szCs w:val="32"/>
        </w:rPr>
      </w:pPr>
      <w:r w:rsidRPr="000E056F">
        <w:rPr>
          <w:rFonts w:ascii="Times New Roman" w:hAnsi="Times New Roman" w:cs="Times New Roman" w:hint="eastAsia"/>
          <w:color w:val="000000"/>
          <w:kern w:val="0"/>
          <w:szCs w:val="32"/>
        </w:rPr>
        <w:t>本指导原则旨在</w:t>
      </w:r>
      <w:r w:rsidR="000E056F" w:rsidRPr="00455F5D">
        <w:rPr>
          <w:rFonts w:ascii="Times New Roman" w:hAnsi="Times New Roman" w:cs="Times New Roman"/>
          <w:color w:val="000000"/>
          <w:szCs w:val="32"/>
        </w:rPr>
        <w:t>为</w:t>
      </w:r>
      <w:r w:rsidR="009F6B5B" w:rsidRPr="009F6B5B">
        <w:rPr>
          <w:rFonts w:ascii="Times New Roman" w:hAnsi="Times New Roman" w:cs="Times New Roman" w:hint="eastAsia"/>
          <w:color w:val="000000"/>
          <w:szCs w:val="32"/>
        </w:rPr>
        <w:t>甲苯磺酸索拉非尼片</w:t>
      </w:r>
      <w:r w:rsidR="000E056F" w:rsidRPr="00455F5D">
        <w:rPr>
          <w:rFonts w:ascii="Times New Roman" w:hAnsi="Times New Roman" w:cs="Times New Roman" w:hint="eastAsia"/>
          <w:color w:val="000000"/>
          <w:szCs w:val="32"/>
        </w:rPr>
        <w:t>生物等效性研究提供</w:t>
      </w:r>
      <w:r w:rsidR="000E056F">
        <w:rPr>
          <w:rFonts w:ascii="Times New Roman" w:hAnsi="Times New Roman" w:cs="Times New Roman" w:hint="eastAsia"/>
          <w:color w:val="000000"/>
          <w:szCs w:val="32"/>
        </w:rPr>
        <w:t>技术</w:t>
      </w:r>
      <w:r w:rsidR="000E056F" w:rsidRPr="00455F5D">
        <w:rPr>
          <w:rFonts w:ascii="Times New Roman" w:hAnsi="Times New Roman" w:cs="Times New Roman"/>
          <w:color w:val="000000"/>
          <w:szCs w:val="32"/>
        </w:rPr>
        <w:t>指导</w:t>
      </w:r>
      <w:r w:rsidR="000E056F">
        <w:rPr>
          <w:rFonts w:ascii="Times New Roman" w:hAnsi="Times New Roman" w:cs="Times New Roman" w:hint="eastAsia"/>
          <w:color w:val="000000"/>
          <w:kern w:val="0"/>
          <w:szCs w:val="32"/>
        </w:rPr>
        <w:t>，主要</w:t>
      </w:r>
      <w:r w:rsidR="000E056F">
        <w:rPr>
          <w:rFonts w:ascii="Times New Roman" w:hAnsi="Times New Roman" w:cs="Times New Roman"/>
          <w:color w:val="000000"/>
          <w:kern w:val="0"/>
          <w:szCs w:val="32"/>
        </w:rPr>
        <w:t>内容包括</w:t>
      </w:r>
      <w:r w:rsidR="000E056F">
        <w:rPr>
          <w:rFonts w:ascii="Times New Roman" w:hAnsi="Times New Roman" w:cs="Times New Roman" w:hint="eastAsia"/>
          <w:color w:val="000000"/>
          <w:kern w:val="0"/>
          <w:szCs w:val="32"/>
        </w:rPr>
        <w:t>研究</w:t>
      </w:r>
      <w:r w:rsidR="00165602">
        <w:rPr>
          <w:rFonts w:ascii="Times New Roman" w:hAnsi="Times New Roman" w:cs="Times New Roman" w:hint="eastAsia"/>
          <w:color w:val="000000"/>
          <w:kern w:val="0"/>
          <w:szCs w:val="32"/>
        </w:rPr>
        <w:t>类型</w:t>
      </w:r>
      <w:r w:rsidR="000E056F">
        <w:rPr>
          <w:rFonts w:ascii="Times New Roman" w:hAnsi="Times New Roman" w:cs="Times New Roman"/>
          <w:color w:val="000000"/>
          <w:kern w:val="0"/>
          <w:szCs w:val="32"/>
        </w:rPr>
        <w:t>、受试者选择</w:t>
      </w:r>
      <w:r w:rsidR="000E056F">
        <w:rPr>
          <w:rFonts w:ascii="Times New Roman" w:hAnsi="Times New Roman" w:cs="Times New Roman" w:hint="eastAsia"/>
          <w:color w:val="000000"/>
          <w:kern w:val="0"/>
          <w:szCs w:val="32"/>
        </w:rPr>
        <w:t>、</w:t>
      </w:r>
      <w:r w:rsidR="000E056F">
        <w:rPr>
          <w:rFonts w:ascii="Times New Roman" w:hAnsi="Times New Roman" w:cs="Times New Roman"/>
          <w:color w:val="000000"/>
          <w:kern w:val="0"/>
          <w:szCs w:val="32"/>
        </w:rPr>
        <w:t>给药剂量、</w:t>
      </w:r>
      <w:r w:rsidR="00165602">
        <w:rPr>
          <w:rFonts w:ascii="Times New Roman" w:hAnsi="Times New Roman" w:cs="Times New Roman" w:hint="eastAsia"/>
          <w:color w:val="000000"/>
          <w:kern w:val="0"/>
          <w:szCs w:val="32"/>
        </w:rPr>
        <w:t>给药方法</w:t>
      </w:r>
      <w:r w:rsidR="00165602">
        <w:rPr>
          <w:rFonts w:ascii="Times New Roman" w:hAnsi="Times New Roman" w:cs="Times New Roman"/>
          <w:color w:val="000000"/>
          <w:kern w:val="0"/>
          <w:szCs w:val="32"/>
        </w:rPr>
        <w:t>、血样采集、</w:t>
      </w:r>
      <w:r w:rsidR="00165602">
        <w:rPr>
          <w:rFonts w:ascii="Times New Roman" w:hAnsi="Times New Roman" w:cs="Times New Roman" w:hint="eastAsia"/>
          <w:color w:val="000000"/>
          <w:kern w:val="0"/>
          <w:szCs w:val="32"/>
        </w:rPr>
        <w:t>检测物质</w:t>
      </w:r>
      <w:r w:rsidR="000E056F">
        <w:rPr>
          <w:rFonts w:ascii="Times New Roman" w:hAnsi="Times New Roman" w:cs="Times New Roman"/>
          <w:color w:val="000000"/>
          <w:kern w:val="0"/>
          <w:szCs w:val="32"/>
        </w:rPr>
        <w:t>、</w:t>
      </w:r>
      <w:r w:rsidR="00165602">
        <w:rPr>
          <w:rFonts w:ascii="Times New Roman" w:hAnsi="Times New Roman" w:cs="Times New Roman"/>
          <w:color w:val="000000"/>
          <w:kern w:val="0"/>
          <w:szCs w:val="32"/>
        </w:rPr>
        <w:t>生物等效性评价</w:t>
      </w:r>
      <w:r w:rsidR="000E056F">
        <w:rPr>
          <w:rFonts w:ascii="Times New Roman" w:hAnsi="Times New Roman" w:cs="Times New Roman" w:hint="eastAsia"/>
          <w:color w:val="000000"/>
          <w:kern w:val="0"/>
          <w:szCs w:val="32"/>
        </w:rPr>
        <w:t>以及</w:t>
      </w:r>
      <w:r w:rsidR="00165602">
        <w:rPr>
          <w:rFonts w:ascii="Times New Roman" w:hAnsi="Times New Roman" w:cs="Times New Roman"/>
          <w:color w:val="000000"/>
          <w:kern w:val="0"/>
          <w:szCs w:val="32"/>
        </w:rPr>
        <w:t>生物等效性</w:t>
      </w:r>
      <w:r w:rsidR="00165602">
        <w:rPr>
          <w:rFonts w:ascii="Times New Roman" w:hAnsi="Times New Roman" w:cs="Times New Roman" w:hint="eastAsia"/>
          <w:color w:val="000000"/>
          <w:kern w:val="0"/>
          <w:szCs w:val="32"/>
        </w:rPr>
        <w:t>研究</w:t>
      </w:r>
      <w:r w:rsidR="00165602">
        <w:rPr>
          <w:rFonts w:ascii="Times New Roman" w:hAnsi="Times New Roman" w:cs="Times New Roman"/>
          <w:color w:val="000000"/>
          <w:kern w:val="0"/>
          <w:szCs w:val="32"/>
        </w:rPr>
        <w:t>豁免</w:t>
      </w:r>
      <w:r w:rsidR="000E056F">
        <w:rPr>
          <w:rFonts w:ascii="Times New Roman" w:hAnsi="Times New Roman" w:cs="Times New Roman" w:hint="eastAsia"/>
          <w:color w:val="000000"/>
          <w:kern w:val="0"/>
          <w:szCs w:val="32"/>
        </w:rPr>
        <w:t>。</w:t>
      </w:r>
      <w:r w:rsidR="009F6B5B" w:rsidRPr="009F6B5B">
        <w:rPr>
          <w:rFonts w:ascii="Times New Roman" w:hAnsi="Times New Roman" w:cs="Times New Roman" w:hint="eastAsia"/>
          <w:color w:val="000000"/>
          <w:szCs w:val="32"/>
        </w:rPr>
        <w:t>甲苯磺酸索拉非尼片</w:t>
      </w:r>
      <w:r w:rsidR="000E056F">
        <w:rPr>
          <w:rFonts w:ascii="Times New Roman" w:hAnsi="Times New Roman" w:cs="Times New Roman"/>
          <w:color w:val="000000"/>
          <w:szCs w:val="32"/>
        </w:rPr>
        <w:t>生物等效性研究</w:t>
      </w:r>
      <w:r w:rsidR="000E056F">
        <w:rPr>
          <w:rFonts w:ascii="Times New Roman" w:hAnsi="Times New Roman" w:cs="Times New Roman" w:hint="eastAsia"/>
          <w:szCs w:val="32"/>
        </w:rPr>
        <w:t>应符合</w:t>
      </w:r>
      <w:r w:rsidR="000E056F" w:rsidRPr="00F81118">
        <w:rPr>
          <w:rFonts w:ascii="Times New Roman" w:hAnsi="Times New Roman" w:cs="Times New Roman"/>
          <w:szCs w:val="32"/>
        </w:rPr>
        <w:t>本指导原则，</w:t>
      </w:r>
      <w:r w:rsidR="000E056F" w:rsidRPr="00F81118">
        <w:rPr>
          <w:rFonts w:ascii="Times New Roman" w:hAnsi="Times New Roman" w:cs="Times New Roman" w:hint="eastAsia"/>
          <w:szCs w:val="32"/>
        </w:rPr>
        <w:t>还</w:t>
      </w:r>
      <w:r w:rsidR="000E056F">
        <w:rPr>
          <w:rFonts w:ascii="Times New Roman" w:hAnsi="Times New Roman" w:cs="Times New Roman"/>
          <w:szCs w:val="32"/>
        </w:rPr>
        <w:t>应</w:t>
      </w:r>
      <w:r w:rsidR="000E056F">
        <w:rPr>
          <w:rFonts w:ascii="Times New Roman" w:hAnsi="Times New Roman" w:cs="Times New Roman" w:hint="eastAsia"/>
          <w:szCs w:val="32"/>
        </w:rPr>
        <w:t>参照</w:t>
      </w:r>
      <w:r w:rsidR="000E056F" w:rsidRPr="00F81118">
        <w:rPr>
          <w:rFonts w:ascii="Times New Roman" w:hAnsi="Times New Roman" w:cs="Times New Roman"/>
          <w:szCs w:val="32"/>
        </w:rPr>
        <w:t>《以药动学参数为终点评价指标的化学药物仿制药人体生物等</w:t>
      </w:r>
      <w:r w:rsidR="000E056F" w:rsidRPr="00CA50E3">
        <w:rPr>
          <w:rFonts w:ascii="Times New Roman" w:hAnsi="Times New Roman" w:cs="Times New Roman"/>
          <w:szCs w:val="32"/>
        </w:rPr>
        <w:t>效性研究技术指导原则》</w:t>
      </w:r>
      <w:r w:rsidR="000E056F" w:rsidRPr="00CA50E3">
        <w:rPr>
          <w:rFonts w:ascii="Times New Roman" w:hAnsi="Times New Roman" w:cs="Times New Roman" w:hint="eastAsia"/>
          <w:szCs w:val="32"/>
        </w:rPr>
        <w:t>、</w:t>
      </w:r>
      <w:r w:rsidR="000E056F" w:rsidRPr="00CA50E3">
        <w:rPr>
          <w:rFonts w:ascii="Times New Roman" w:hAnsi="Times New Roman" w:cs="Times New Roman"/>
          <w:szCs w:val="32"/>
        </w:rPr>
        <w:t>《</w:t>
      </w:r>
      <w:r w:rsidR="000E056F" w:rsidRPr="00CA50E3">
        <w:rPr>
          <w:rFonts w:ascii="Times New Roman" w:hAnsi="Times New Roman" w:cs="Times New Roman" w:hint="eastAsia"/>
          <w:szCs w:val="32"/>
        </w:rPr>
        <w:t>生物</w:t>
      </w:r>
      <w:r w:rsidR="000E056F" w:rsidRPr="00CA50E3">
        <w:rPr>
          <w:rFonts w:ascii="Times New Roman" w:hAnsi="Times New Roman" w:cs="Times New Roman"/>
          <w:szCs w:val="32"/>
        </w:rPr>
        <w:t>等效性研究</w:t>
      </w:r>
      <w:r w:rsidR="000E056F" w:rsidRPr="00CA50E3">
        <w:rPr>
          <w:rFonts w:ascii="Times New Roman" w:hAnsi="Times New Roman" w:cs="Times New Roman" w:hint="eastAsia"/>
          <w:szCs w:val="32"/>
        </w:rPr>
        <w:t>的</w:t>
      </w:r>
      <w:r w:rsidR="000E056F" w:rsidRPr="00CA50E3">
        <w:rPr>
          <w:rFonts w:ascii="Times New Roman" w:hAnsi="Times New Roman" w:cs="Times New Roman"/>
          <w:szCs w:val="32"/>
        </w:rPr>
        <w:t>统计学指导原则》</w:t>
      </w:r>
      <w:r w:rsidR="009F6B5B">
        <w:rPr>
          <w:rFonts w:ascii="Times New Roman" w:hAnsi="Times New Roman" w:cs="Times New Roman" w:hint="eastAsia"/>
          <w:szCs w:val="32"/>
        </w:rPr>
        <w:t>和</w:t>
      </w:r>
      <w:r w:rsidR="009F6B5B" w:rsidRPr="009930E3">
        <w:rPr>
          <w:rFonts w:ascii="Times New Roman" w:hAnsi="Times New Roman" w:cs="Times New Roman" w:hint="eastAsia"/>
          <w:szCs w:val="32"/>
        </w:rPr>
        <w:t>《高变异药物生物等效性研究技术指导原则</w:t>
      </w:r>
      <w:r w:rsidR="009F6B5B" w:rsidRPr="009930E3">
        <w:rPr>
          <w:rFonts w:ascii="Times New Roman" w:hAnsi="Times New Roman" w:cs="Times New Roman"/>
          <w:szCs w:val="32"/>
        </w:rPr>
        <w:t>》</w:t>
      </w:r>
      <w:bookmarkStart w:id="0" w:name="_GoBack"/>
      <w:bookmarkEnd w:id="0"/>
      <w:r w:rsidR="000E056F" w:rsidRPr="00CA50E3">
        <w:rPr>
          <w:rFonts w:ascii="Times New Roman" w:hAnsi="Times New Roman" w:cs="Times New Roman"/>
          <w:szCs w:val="32"/>
        </w:rPr>
        <w:t>等相关指导原则。</w:t>
      </w:r>
    </w:p>
    <w:sectPr w:rsidR="0044710C" w:rsidRPr="004471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EA4" w:rsidRDefault="00F72EA4" w:rsidP="002076FF">
      <w:r>
        <w:separator/>
      </w:r>
    </w:p>
  </w:endnote>
  <w:endnote w:type="continuationSeparator" w:id="0">
    <w:p w:rsidR="00F72EA4" w:rsidRDefault="00F72EA4" w:rsidP="0020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EA4" w:rsidRDefault="00F72EA4" w:rsidP="002076FF">
      <w:r>
        <w:separator/>
      </w:r>
    </w:p>
  </w:footnote>
  <w:footnote w:type="continuationSeparator" w:id="0">
    <w:p w:rsidR="00F72EA4" w:rsidRDefault="00F72EA4" w:rsidP="002076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art805E"/>
      </v:shape>
    </w:pict>
  </w:numPicBullet>
  <w:abstractNum w:abstractNumId="0" w15:restartNumberingAfterBreak="0">
    <w:nsid w:val="17957483"/>
    <w:multiLevelType w:val="singleLevel"/>
    <w:tmpl w:val="1795748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76"/>
    <w:rsid w:val="00010960"/>
    <w:rsid w:val="00024553"/>
    <w:rsid w:val="00075482"/>
    <w:rsid w:val="000E056F"/>
    <w:rsid w:val="00165602"/>
    <w:rsid w:val="002076FF"/>
    <w:rsid w:val="00270A83"/>
    <w:rsid w:val="002A683D"/>
    <w:rsid w:val="002B56A4"/>
    <w:rsid w:val="00363EA6"/>
    <w:rsid w:val="003C3832"/>
    <w:rsid w:val="003F57BB"/>
    <w:rsid w:val="00412FA4"/>
    <w:rsid w:val="0044710C"/>
    <w:rsid w:val="00455F5D"/>
    <w:rsid w:val="004C6DE0"/>
    <w:rsid w:val="004E6B1D"/>
    <w:rsid w:val="004F2B72"/>
    <w:rsid w:val="00523EB6"/>
    <w:rsid w:val="00545F0A"/>
    <w:rsid w:val="005C0F13"/>
    <w:rsid w:val="005E1807"/>
    <w:rsid w:val="005F2FB8"/>
    <w:rsid w:val="006961D3"/>
    <w:rsid w:val="00731E30"/>
    <w:rsid w:val="00780EF2"/>
    <w:rsid w:val="007F3259"/>
    <w:rsid w:val="00814424"/>
    <w:rsid w:val="00885DD3"/>
    <w:rsid w:val="008D2D55"/>
    <w:rsid w:val="008F23DF"/>
    <w:rsid w:val="00912BB4"/>
    <w:rsid w:val="00944124"/>
    <w:rsid w:val="009F6B5B"/>
    <w:rsid w:val="00A44F56"/>
    <w:rsid w:val="00AA1CD0"/>
    <w:rsid w:val="00AC66E9"/>
    <w:rsid w:val="00B33D37"/>
    <w:rsid w:val="00B53FF1"/>
    <w:rsid w:val="00B550C9"/>
    <w:rsid w:val="00B70E9A"/>
    <w:rsid w:val="00B70F9D"/>
    <w:rsid w:val="00B81B34"/>
    <w:rsid w:val="00BD0CA0"/>
    <w:rsid w:val="00BD5AC7"/>
    <w:rsid w:val="00BF3C23"/>
    <w:rsid w:val="00C64091"/>
    <w:rsid w:val="00C73549"/>
    <w:rsid w:val="00C74E65"/>
    <w:rsid w:val="00CB06B9"/>
    <w:rsid w:val="00CD555B"/>
    <w:rsid w:val="00D41276"/>
    <w:rsid w:val="00DB0533"/>
    <w:rsid w:val="00DC00DD"/>
    <w:rsid w:val="00DC184F"/>
    <w:rsid w:val="00E57577"/>
    <w:rsid w:val="00E727A9"/>
    <w:rsid w:val="00E76CFA"/>
    <w:rsid w:val="00E86E83"/>
    <w:rsid w:val="00F6236F"/>
    <w:rsid w:val="00F72EA4"/>
    <w:rsid w:val="00FA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200A8"/>
  <w15:chartTrackingRefBased/>
  <w15:docId w15:val="{28F3F292-6683-4E90-8687-F5F461E9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6FF"/>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6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76FF"/>
    <w:rPr>
      <w:sz w:val="18"/>
      <w:szCs w:val="18"/>
    </w:rPr>
  </w:style>
  <w:style w:type="paragraph" w:styleId="a5">
    <w:name w:val="footer"/>
    <w:basedOn w:val="a"/>
    <w:link w:val="a6"/>
    <w:uiPriority w:val="99"/>
    <w:unhideWhenUsed/>
    <w:rsid w:val="002076FF"/>
    <w:pPr>
      <w:tabs>
        <w:tab w:val="center" w:pos="4153"/>
        <w:tab w:val="right" w:pos="8306"/>
      </w:tabs>
      <w:snapToGrid w:val="0"/>
      <w:jc w:val="left"/>
    </w:pPr>
    <w:rPr>
      <w:sz w:val="18"/>
      <w:szCs w:val="18"/>
    </w:rPr>
  </w:style>
  <w:style w:type="character" w:customStyle="1" w:styleId="a6">
    <w:name w:val="页脚 字符"/>
    <w:basedOn w:val="a0"/>
    <w:link w:val="a5"/>
    <w:uiPriority w:val="99"/>
    <w:rsid w:val="00207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6371">
      <w:bodyDiv w:val="1"/>
      <w:marLeft w:val="0"/>
      <w:marRight w:val="0"/>
      <w:marTop w:val="0"/>
      <w:marBottom w:val="0"/>
      <w:divBdr>
        <w:top w:val="none" w:sz="0" w:space="0" w:color="auto"/>
        <w:left w:val="none" w:sz="0" w:space="0" w:color="auto"/>
        <w:bottom w:val="none" w:sz="0" w:space="0" w:color="auto"/>
        <w:right w:val="none" w:sz="0" w:space="0" w:color="auto"/>
      </w:divBdr>
      <w:divsChild>
        <w:div w:id="1606302219">
          <w:marLeft w:val="547"/>
          <w:marRight w:val="0"/>
          <w:marTop w:val="192"/>
          <w:marBottom w:val="0"/>
          <w:divBdr>
            <w:top w:val="none" w:sz="0" w:space="0" w:color="auto"/>
            <w:left w:val="none" w:sz="0" w:space="0" w:color="auto"/>
            <w:bottom w:val="none" w:sz="0" w:space="0" w:color="auto"/>
            <w:right w:val="none" w:sz="0" w:space="0" w:color="auto"/>
          </w:divBdr>
        </w:div>
        <w:div w:id="1250232593">
          <w:marLeft w:val="547"/>
          <w:marRight w:val="0"/>
          <w:marTop w:val="192"/>
          <w:marBottom w:val="0"/>
          <w:divBdr>
            <w:top w:val="none" w:sz="0" w:space="0" w:color="auto"/>
            <w:left w:val="none" w:sz="0" w:space="0" w:color="auto"/>
            <w:bottom w:val="none" w:sz="0" w:space="0" w:color="auto"/>
            <w:right w:val="none" w:sz="0" w:space="0" w:color="auto"/>
          </w:divBdr>
        </w:div>
        <w:div w:id="1717655449">
          <w:marLeft w:val="547"/>
          <w:marRight w:val="0"/>
          <w:marTop w:val="192"/>
          <w:marBottom w:val="0"/>
          <w:divBdr>
            <w:top w:val="none" w:sz="0" w:space="0" w:color="auto"/>
            <w:left w:val="none" w:sz="0" w:space="0" w:color="auto"/>
            <w:bottom w:val="none" w:sz="0" w:space="0" w:color="auto"/>
            <w:right w:val="none" w:sz="0" w:space="0" w:color="auto"/>
          </w:divBdr>
        </w:div>
      </w:divsChild>
    </w:div>
    <w:div w:id="1783184268">
      <w:bodyDiv w:val="1"/>
      <w:marLeft w:val="0"/>
      <w:marRight w:val="0"/>
      <w:marTop w:val="0"/>
      <w:marBottom w:val="0"/>
      <w:divBdr>
        <w:top w:val="none" w:sz="0" w:space="0" w:color="auto"/>
        <w:left w:val="none" w:sz="0" w:space="0" w:color="auto"/>
        <w:bottom w:val="none" w:sz="0" w:space="0" w:color="auto"/>
        <w:right w:val="none" w:sz="0" w:space="0" w:color="auto"/>
      </w:divBdr>
      <w:divsChild>
        <w:div w:id="1268856028">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2021-03-30T07:22:00Z</dcterms:created>
  <dcterms:modified xsi:type="dcterms:W3CDTF">2021-03-30T07:31:00Z</dcterms:modified>
</cp:coreProperties>
</file>