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BD9" w:rsidRDefault="00542BD9" w:rsidP="00D00D59">
      <w:pPr>
        <w:widowControl w:val="0"/>
        <w:spacing w:afterLines="50" w:after="217" w:line="240" w:lineRule="atLeast"/>
        <w:jc w:val="center"/>
        <w:rPr>
          <w:rFonts w:ascii="仿宋_GB2312" w:hAnsi="宋体" w:cs="Times New Roman" w:hint="eastAsia"/>
          <w:b/>
          <w:bCs/>
          <w:kern w:val="2"/>
          <w:sz w:val="44"/>
          <w:szCs w:val="32"/>
        </w:rPr>
      </w:pPr>
      <w:bookmarkStart w:id="0" w:name="_GoBack"/>
      <w:bookmarkEnd w:id="0"/>
    </w:p>
    <w:p w:rsidR="00542BD9" w:rsidRDefault="00542BD9" w:rsidP="00D00D59">
      <w:pPr>
        <w:widowControl w:val="0"/>
        <w:spacing w:afterLines="50" w:after="217" w:line="240" w:lineRule="atLeast"/>
        <w:jc w:val="center"/>
        <w:rPr>
          <w:rFonts w:ascii="仿宋_GB2312" w:hAnsi="宋体" w:cs="Times New Roman"/>
          <w:b/>
          <w:bCs/>
          <w:kern w:val="2"/>
          <w:sz w:val="44"/>
          <w:szCs w:val="32"/>
        </w:rPr>
      </w:pPr>
    </w:p>
    <w:p w:rsidR="00315419" w:rsidRDefault="00D12C49" w:rsidP="00D00D59">
      <w:pPr>
        <w:widowControl w:val="0"/>
        <w:spacing w:afterLines="50" w:after="217" w:line="240" w:lineRule="atLeast"/>
        <w:jc w:val="center"/>
        <w:rPr>
          <w:rFonts w:ascii="方正小标宋简体" w:eastAsia="方正小标宋简体" w:hAnsi="宋体" w:cs="Times New Roman"/>
          <w:bCs/>
          <w:kern w:val="2"/>
          <w:sz w:val="48"/>
          <w:szCs w:val="32"/>
        </w:rPr>
      </w:pPr>
      <w:r>
        <w:rPr>
          <w:rFonts w:ascii="方正小标宋简体" w:eastAsia="方正小标宋简体" w:hAnsi="宋体" w:cs="Times New Roman" w:hint="eastAsia"/>
          <w:bCs/>
          <w:kern w:val="2"/>
          <w:sz w:val="48"/>
          <w:szCs w:val="32"/>
        </w:rPr>
        <w:t>盐酸</w:t>
      </w:r>
      <w:r>
        <w:rPr>
          <w:rFonts w:ascii="方正小标宋简体" w:eastAsia="方正小标宋简体" w:hAnsi="宋体" w:cs="Times New Roman"/>
          <w:bCs/>
          <w:kern w:val="2"/>
          <w:sz w:val="48"/>
          <w:szCs w:val="32"/>
        </w:rPr>
        <w:t>贝那普利片</w:t>
      </w:r>
      <w:r>
        <w:rPr>
          <w:rFonts w:ascii="方正小标宋简体" w:eastAsia="方正小标宋简体" w:hAnsi="宋体" w:cs="Times New Roman" w:hint="eastAsia"/>
          <w:bCs/>
          <w:kern w:val="2"/>
          <w:sz w:val="48"/>
          <w:szCs w:val="32"/>
        </w:rPr>
        <w:t>生物等效性研究</w:t>
      </w:r>
    </w:p>
    <w:p w:rsidR="00542BD9" w:rsidRDefault="00D12C49" w:rsidP="00D00D59">
      <w:pPr>
        <w:widowControl w:val="0"/>
        <w:spacing w:afterLines="50" w:after="217" w:line="240" w:lineRule="atLeast"/>
        <w:jc w:val="center"/>
        <w:rPr>
          <w:rFonts w:ascii="方正小标宋简体" w:eastAsia="方正小标宋简体" w:hAnsi="宋体" w:cs="Times New Roman"/>
          <w:bCs/>
          <w:kern w:val="2"/>
          <w:sz w:val="48"/>
          <w:szCs w:val="32"/>
        </w:rPr>
      </w:pPr>
      <w:r>
        <w:rPr>
          <w:rFonts w:ascii="方正小标宋简体" w:eastAsia="方正小标宋简体" w:hAnsi="宋体" w:cs="Times New Roman" w:hint="eastAsia"/>
          <w:bCs/>
          <w:kern w:val="2"/>
          <w:sz w:val="48"/>
          <w:szCs w:val="32"/>
        </w:rPr>
        <w:t>技术指导原则</w:t>
      </w:r>
    </w:p>
    <w:p w:rsidR="006B407C" w:rsidRPr="00971C09" w:rsidRDefault="006B407C" w:rsidP="006B407C">
      <w:pPr>
        <w:snapToGrid w:val="0"/>
        <w:ind w:firstLineChars="62" w:firstLine="298"/>
        <w:jc w:val="center"/>
        <w:rPr>
          <w:rFonts w:eastAsia="方正小标宋简体" w:cs="Times New Roman"/>
          <w:sz w:val="48"/>
          <w:szCs w:val="48"/>
        </w:rPr>
      </w:pPr>
      <w:r>
        <w:rPr>
          <w:rFonts w:eastAsia="方正小标宋简体" w:cs="Times New Roman" w:hint="eastAsia"/>
          <w:sz w:val="48"/>
          <w:szCs w:val="48"/>
        </w:rPr>
        <w:t>（征求意见稿）</w:t>
      </w:r>
    </w:p>
    <w:p w:rsidR="006B407C" w:rsidRPr="006B407C" w:rsidRDefault="006B407C" w:rsidP="00D00D59">
      <w:pPr>
        <w:widowControl w:val="0"/>
        <w:spacing w:afterLines="50" w:after="217" w:line="240" w:lineRule="atLeast"/>
        <w:jc w:val="center"/>
        <w:rPr>
          <w:rFonts w:ascii="方正小标宋简体" w:eastAsia="方正小标宋简体" w:hAnsi="黑体" w:cs="Times New Roman"/>
          <w:bCs/>
          <w:kern w:val="2"/>
          <w:sz w:val="36"/>
          <w:szCs w:val="32"/>
        </w:rPr>
      </w:pPr>
    </w:p>
    <w:p w:rsidR="002D49DA" w:rsidRDefault="002D49DA" w:rsidP="002D49DA">
      <w:pPr>
        <w:spacing w:afterLines="50" w:after="217" w:line="240" w:lineRule="atLeast"/>
        <w:jc w:val="center"/>
        <w:rPr>
          <w:rFonts w:ascii="方正小标宋简体" w:eastAsia="方正小标宋简体" w:hAnsi="宋体" w:cs="Times New Roman"/>
          <w:bCs/>
          <w:color w:val="FF0000"/>
          <w:sz w:val="48"/>
          <w:szCs w:val="32"/>
        </w:rPr>
      </w:pPr>
    </w:p>
    <w:p w:rsidR="002D49DA" w:rsidRDefault="002D49DA" w:rsidP="002D49DA">
      <w:pPr>
        <w:spacing w:afterLines="50" w:after="217" w:line="240" w:lineRule="atLeast"/>
        <w:jc w:val="center"/>
        <w:rPr>
          <w:rFonts w:ascii="方正小标宋简体" w:eastAsia="方正小标宋简体" w:hAnsi="宋体" w:cs="Times New Roman"/>
          <w:bCs/>
          <w:color w:val="FF0000"/>
          <w:sz w:val="48"/>
          <w:szCs w:val="32"/>
        </w:rPr>
      </w:pPr>
    </w:p>
    <w:p w:rsidR="002D49DA" w:rsidRDefault="002D49DA" w:rsidP="002D49DA">
      <w:pPr>
        <w:spacing w:afterLines="50" w:after="217" w:line="240" w:lineRule="atLeast"/>
        <w:jc w:val="center"/>
        <w:rPr>
          <w:rFonts w:ascii="方正小标宋简体" w:eastAsia="方正小标宋简体" w:hAnsi="宋体" w:cs="Times New Roman"/>
          <w:bCs/>
          <w:color w:val="FF0000"/>
          <w:sz w:val="48"/>
          <w:szCs w:val="32"/>
        </w:rPr>
      </w:pPr>
    </w:p>
    <w:p w:rsidR="002D49DA" w:rsidRDefault="002D49DA" w:rsidP="002D49DA">
      <w:pPr>
        <w:spacing w:afterLines="50" w:after="217" w:line="240" w:lineRule="atLeast"/>
        <w:jc w:val="center"/>
        <w:rPr>
          <w:rFonts w:ascii="方正小标宋简体" w:eastAsia="方正小标宋简体" w:hAnsi="宋体" w:cs="Times New Roman"/>
          <w:bCs/>
          <w:color w:val="FF0000"/>
          <w:sz w:val="48"/>
          <w:szCs w:val="32"/>
        </w:rPr>
      </w:pPr>
    </w:p>
    <w:p w:rsidR="002D49DA" w:rsidRDefault="002D49DA" w:rsidP="002D49DA">
      <w:pPr>
        <w:spacing w:afterLines="50" w:after="217" w:line="240" w:lineRule="atLeast"/>
        <w:jc w:val="center"/>
        <w:rPr>
          <w:rFonts w:ascii="方正小标宋简体" w:eastAsia="方正小标宋简体" w:hAnsi="宋体" w:cs="Times New Roman"/>
          <w:bCs/>
          <w:color w:val="FF0000"/>
          <w:sz w:val="48"/>
          <w:szCs w:val="32"/>
        </w:rPr>
      </w:pPr>
    </w:p>
    <w:p w:rsidR="00542BD9" w:rsidRDefault="00D12C49" w:rsidP="00D00D59">
      <w:pPr>
        <w:widowControl w:val="0"/>
        <w:spacing w:afterLines="50" w:after="217" w:line="240" w:lineRule="atLeast"/>
        <w:jc w:val="center"/>
        <w:rPr>
          <w:rFonts w:eastAsia="黑体" w:cs="Times New Roman"/>
          <w:bCs/>
          <w:kern w:val="2"/>
          <w:szCs w:val="32"/>
        </w:rPr>
      </w:pPr>
      <w:r>
        <w:rPr>
          <w:rFonts w:eastAsia="黑体" w:cs="Times New Roman"/>
          <w:bCs/>
          <w:kern w:val="2"/>
          <w:szCs w:val="32"/>
        </w:rPr>
        <w:t>2021</w:t>
      </w:r>
      <w:r>
        <w:rPr>
          <w:rFonts w:eastAsia="黑体" w:cs="Times New Roman"/>
          <w:bCs/>
          <w:kern w:val="2"/>
          <w:szCs w:val="32"/>
        </w:rPr>
        <w:t>年</w:t>
      </w:r>
      <w:r>
        <w:rPr>
          <w:rFonts w:eastAsia="黑体" w:cs="Times New Roman" w:hint="eastAsia"/>
          <w:bCs/>
          <w:kern w:val="2"/>
          <w:szCs w:val="32"/>
        </w:rPr>
        <w:t>4</w:t>
      </w:r>
      <w:r>
        <w:rPr>
          <w:rFonts w:eastAsia="黑体" w:cs="Times New Roman"/>
          <w:bCs/>
          <w:kern w:val="2"/>
          <w:szCs w:val="32"/>
        </w:rPr>
        <w:t>月</w:t>
      </w:r>
    </w:p>
    <w:p w:rsidR="00542BD9" w:rsidRDefault="00542BD9" w:rsidP="00D00D59">
      <w:pPr>
        <w:widowControl w:val="0"/>
        <w:spacing w:after="0" w:line="240" w:lineRule="auto"/>
        <w:rPr>
          <w:rFonts w:eastAsia="方正小标宋简体" w:cs="Times New Roman"/>
          <w:kern w:val="2"/>
          <w:sz w:val="36"/>
          <w:szCs w:val="36"/>
        </w:rPr>
        <w:sectPr w:rsidR="00542BD9" w:rsidSect="00A316CB">
          <w:footerReference w:type="default" r:id="rId8"/>
          <w:pgSz w:w="11906" w:h="16838"/>
          <w:pgMar w:top="1440" w:right="1800" w:bottom="1440" w:left="1800" w:header="851" w:footer="992" w:gutter="0"/>
          <w:cols w:space="425"/>
          <w:docGrid w:type="lines" w:linePitch="435"/>
        </w:sectPr>
      </w:pPr>
    </w:p>
    <w:sdt>
      <w:sdtPr>
        <w:rPr>
          <w:rFonts w:ascii="方正小标宋简体" w:eastAsia="方正小标宋简体" w:hAnsi="Times New Roman" w:cstheme="minorBidi"/>
          <w:color w:val="auto"/>
          <w:sz w:val="36"/>
          <w:szCs w:val="22"/>
          <w:lang w:val="zh-CN"/>
        </w:rPr>
        <w:id w:val="-1371759422"/>
        <w:docPartObj>
          <w:docPartGallery w:val="Table of Contents"/>
          <w:docPartUnique/>
        </w:docPartObj>
      </w:sdtPr>
      <w:sdtEndPr>
        <w:rPr>
          <w:rFonts w:ascii="Times New Roman" w:eastAsia="仿宋_GB2312"/>
          <w:b/>
          <w:bCs/>
          <w:sz w:val="32"/>
        </w:rPr>
      </w:sdtEndPr>
      <w:sdtContent>
        <w:p w:rsidR="00542BD9" w:rsidRDefault="00D12C49" w:rsidP="00D00D59">
          <w:pPr>
            <w:pStyle w:val="TOC1"/>
            <w:keepNext w:val="0"/>
            <w:keepLines w:val="0"/>
            <w:widowControl w:val="0"/>
            <w:jc w:val="center"/>
          </w:pPr>
          <w:r>
            <w:rPr>
              <w:rFonts w:ascii="方正小标宋简体" w:eastAsia="方正小标宋简体"/>
              <w:color w:val="auto"/>
              <w:sz w:val="36"/>
              <w:lang w:val="zh-CN"/>
            </w:rPr>
            <w:t>目</w:t>
          </w:r>
          <w:r>
            <w:rPr>
              <w:rFonts w:ascii="方正小标宋简体" w:eastAsia="方正小标宋简体" w:hint="eastAsia"/>
              <w:color w:val="auto"/>
              <w:sz w:val="36"/>
              <w:lang w:val="zh-CN"/>
            </w:rPr>
            <w:t xml:space="preserve">  </w:t>
          </w:r>
          <w:r>
            <w:rPr>
              <w:rFonts w:ascii="方正小标宋简体" w:eastAsia="方正小标宋简体"/>
              <w:color w:val="auto"/>
              <w:sz w:val="36"/>
              <w:lang w:val="zh-CN"/>
            </w:rPr>
            <w:t>录</w:t>
          </w:r>
        </w:p>
        <w:p w:rsidR="00542BD9" w:rsidRDefault="00D12C49" w:rsidP="00D00D59">
          <w:pPr>
            <w:pStyle w:val="11"/>
            <w:widowControl w:val="0"/>
            <w:tabs>
              <w:tab w:val="right" w:leader="dot" w:pos="8296"/>
            </w:tabs>
            <w:rPr>
              <w:rFonts w:asciiTheme="minorHAnsi" w:eastAsiaTheme="minorEastAsia" w:hAnsiTheme="minorHAnsi"/>
              <w:kern w:val="2"/>
              <w:sz w:val="21"/>
            </w:rPr>
          </w:pPr>
          <w:r>
            <w:fldChar w:fldCharType="begin"/>
          </w:r>
          <w:r>
            <w:instrText xml:space="preserve"> TOC \h \z \t "</w:instrText>
          </w:r>
          <w:r>
            <w:instrText>一级标题</w:instrText>
          </w:r>
          <w:r>
            <w:instrText>,1,</w:instrText>
          </w:r>
          <w:r>
            <w:instrText>二级标题</w:instrText>
          </w:r>
          <w:r>
            <w:instrText xml:space="preserve">,2" </w:instrText>
          </w:r>
          <w:r>
            <w:fldChar w:fldCharType="separate"/>
          </w:r>
          <w:hyperlink w:anchor="_Toc47519203" w:history="1">
            <w:r>
              <w:rPr>
                <w:rStyle w:val="a9"/>
              </w:rPr>
              <w:t>一、概述</w:t>
            </w:r>
            <w:r>
              <w:tab/>
            </w:r>
            <w:r>
              <w:fldChar w:fldCharType="begin"/>
            </w:r>
            <w:r>
              <w:instrText xml:space="preserve"> PAGEREF _Toc47519203 \h </w:instrText>
            </w:r>
            <w:r>
              <w:fldChar w:fldCharType="separate"/>
            </w:r>
            <w:r w:rsidR="00290088">
              <w:rPr>
                <w:noProof/>
              </w:rPr>
              <w:t>1</w:t>
            </w:r>
            <w:r>
              <w:fldChar w:fldCharType="end"/>
            </w:r>
          </w:hyperlink>
        </w:p>
        <w:p w:rsidR="00542BD9" w:rsidRDefault="002B0789" w:rsidP="00D00D59">
          <w:pPr>
            <w:pStyle w:val="11"/>
            <w:widowControl w:val="0"/>
            <w:tabs>
              <w:tab w:val="right" w:leader="dot" w:pos="8296"/>
            </w:tabs>
            <w:rPr>
              <w:rFonts w:asciiTheme="minorHAnsi" w:eastAsiaTheme="minorEastAsia" w:hAnsiTheme="minorHAnsi"/>
              <w:kern w:val="2"/>
              <w:sz w:val="21"/>
            </w:rPr>
          </w:pPr>
          <w:hyperlink w:anchor="_Toc47519204" w:history="1">
            <w:r w:rsidR="00D12C49">
              <w:rPr>
                <w:rStyle w:val="a9"/>
              </w:rPr>
              <w:t>二、人体生物等效性研究设计</w:t>
            </w:r>
            <w:r w:rsidR="00D12C49">
              <w:tab/>
            </w:r>
            <w:r w:rsidR="00D12C49">
              <w:fldChar w:fldCharType="begin"/>
            </w:r>
            <w:r w:rsidR="00D12C49">
              <w:instrText xml:space="preserve"> PAGEREF _Toc47519204 \h </w:instrText>
            </w:r>
            <w:r w:rsidR="00D12C49">
              <w:fldChar w:fldCharType="separate"/>
            </w:r>
            <w:r w:rsidR="00290088">
              <w:rPr>
                <w:noProof/>
              </w:rPr>
              <w:t>1</w:t>
            </w:r>
            <w:r w:rsidR="00D12C49">
              <w:fldChar w:fldCharType="end"/>
            </w:r>
          </w:hyperlink>
        </w:p>
        <w:p w:rsidR="00542BD9" w:rsidRDefault="002B0789" w:rsidP="00D00D59">
          <w:pPr>
            <w:pStyle w:val="21"/>
            <w:widowControl w:val="0"/>
            <w:tabs>
              <w:tab w:val="right" w:leader="dot" w:pos="8296"/>
            </w:tabs>
            <w:ind w:left="640"/>
            <w:rPr>
              <w:rFonts w:asciiTheme="minorHAnsi" w:eastAsiaTheme="minorEastAsia" w:hAnsiTheme="minorHAnsi"/>
              <w:kern w:val="2"/>
              <w:sz w:val="21"/>
            </w:rPr>
          </w:pPr>
          <w:hyperlink w:anchor="_Toc47519205" w:history="1">
            <w:r w:rsidR="00D12C49">
              <w:rPr>
                <w:rStyle w:val="a9"/>
              </w:rPr>
              <w:t>（一）研究类型</w:t>
            </w:r>
            <w:r w:rsidR="00D12C49">
              <w:tab/>
            </w:r>
            <w:r w:rsidR="00D12C49">
              <w:fldChar w:fldCharType="begin"/>
            </w:r>
            <w:r w:rsidR="00D12C49">
              <w:instrText xml:space="preserve"> PAGEREF _Toc47519205 \h </w:instrText>
            </w:r>
            <w:r w:rsidR="00D12C49">
              <w:fldChar w:fldCharType="separate"/>
            </w:r>
            <w:r w:rsidR="00290088">
              <w:rPr>
                <w:noProof/>
              </w:rPr>
              <w:t>1</w:t>
            </w:r>
            <w:r w:rsidR="00D12C49">
              <w:fldChar w:fldCharType="end"/>
            </w:r>
          </w:hyperlink>
        </w:p>
        <w:p w:rsidR="00542BD9" w:rsidRDefault="002B0789" w:rsidP="00D00D59">
          <w:pPr>
            <w:pStyle w:val="21"/>
            <w:widowControl w:val="0"/>
            <w:tabs>
              <w:tab w:val="right" w:leader="dot" w:pos="8296"/>
            </w:tabs>
            <w:ind w:left="640"/>
            <w:rPr>
              <w:rFonts w:asciiTheme="minorHAnsi" w:eastAsiaTheme="minorEastAsia" w:hAnsiTheme="minorHAnsi"/>
              <w:kern w:val="2"/>
              <w:sz w:val="21"/>
            </w:rPr>
          </w:pPr>
          <w:hyperlink w:anchor="_Toc47519206" w:history="1">
            <w:r w:rsidR="00D12C49">
              <w:rPr>
                <w:rStyle w:val="a9"/>
              </w:rPr>
              <w:t>（二）受试人群</w:t>
            </w:r>
            <w:r w:rsidR="00D12C49">
              <w:tab/>
            </w:r>
            <w:r w:rsidR="00D12C49">
              <w:fldChar w:fldCharType="begin"/>
            </w:r>
            <w:r w:rsidR="00D12C49">
              <w:instrText xml:space="preserve"> PAGEREF _Toc47519206 \h </w:instrText>
            </w:r>
            <w:r w:rsidR="00D12C49">
              <w:fldChar w:fldCharType="separate"/>
            </w:r>
            <w:r w:rsidR="00290088">
              <w:rPr>
                <w:noProof/>
              </w:rPr>
              <w:t>1</w:t>
            </w:r>
            <w:r w:rsidR="00D12C49">
              <w:fldChar w:fldCharType="end"/>
            </w:r>
          </w:hyperlink>
        </w:p>
        <w:p w:rsidR="00542BD9" w:rsidRDefault="002B0789" w:rsidP="00D00D59">
          <w:pPr>
            <w:pStyle w:val="21"/>
            <w:widowControl w:val="0"/>
            <w:tabs>
              <w:tab w:val="right" w:leader="dot" w:pos="8296"/>
            </w:tabs>
            <w:ind w:left="640"/>
            <w:rPr>
              <w:rFonts w:asciiTheme="minorHAnsi" w:eastAsiaTheme="minorEastAsia" w:hAnsiTheme="minorHAnsi"/>
              <w:kern w:val="2"/>
              <w:sz w:val="21"/>
            </w:rPr>
          </w:pPr>
          <w:hyperlink w:anchor="_Toc47519207" w:history="1">
            <w:r w:rsidR="00D12C49">
              <w:rPr>
                <w:rStyle w:val="a9"/>
              </w:rPr>
              <w:t>（三）给药剂量</w:t>
            </w:r>
            <w:r w:rsidR="00D12C49">
              <w:tab/>
            </w:r>
            <w:r w:rsidR="00D12C49">
              <w:fldChar w:fldCharType="begin"/>
            </w:r>
            <w:r w:rsidR="00D12C49">
              <w:instrText xml:space="preserve"> PAGEREF _Toc47519207 \h </w:instrText>
            </w:r>
            <w:r w:rsidR="00D12C49">
              <w:fldChar w:fldCharType="separate"/>
            </w:r>
            <w:r w:rsidR="00290088">
              <w:rPr>
                <w:noProof/>
              </w:rPr>
              <w:t>1</w:t>
            </w:r>
            <w:r w:rsidR="00D12C49">
              <w:fldChar w:fldCharType="end"/>
            </w:r>
          </w:hyperlink>
        </w:p>
        <w:p w:rsidR="00542BD9" w:rsidRDefault="002B0789" w:rsidP="00D00D59">
          <w:pPr>
            <w:pStyle w:val="21"/>
            <w:widowControl w:val="0"/>
            <w:tabs>
              <w:tab w:val="right" w:leader="dot" w:pos="8296"/>
            </w:tabs>
            <w:ind w:left="640"/>
            <w:rPr>
              <w:rFonts w:asciiTheme="minorHAnsi" w:eastAsiaTheme="minorEastAsia" w:hAnsiTheme="minorHAnsi"/>
              <w:kern w:val="2"/>
              <w:sz w:val="21"/>
            </w:rPr>
          </w:pPr>
          <w:hyperlink w:anchor="_Toc47519208" w:history="1">
            <w:r w:rsidR="00D12C49">
              <w:rPr>
                <w:rStyle w:val="a9"/>
              </w:rPr>
              <w:t>（四）给药方法</w:t>
            </w:r>
            <w:r w:rsidR="00D12C49">
              <w:tab/>
            </w:r>
            <w:r w:rsidR="00D12C49">
              <w:fldChar w:fldCharType="begin"/>
            </w:r>
            <w:r w:rsidR="00D12C49">
              <w:instrText xml:space="preserve"> PAGEREF _Toc47519208 \h </w:instrText>
            </w:r>
            <w:r w:rsidR="00D12C49">
              <w:fldChar w:fldCharType="separate"/>
            </w:r>
            <w:r w:rsidR="00290088">
              <w:rPr>
                <w:noProof/>
              </w:rPr>
              <w:t>1</w:t>
            </w:r>
            <w:r w:rsidR="00D12C49">
              <w:fldChar w:fldCharType="end"/>
            </w:r>
          </w:hyperlink>
        </w:p>
        <w:p w:rsidR="00542BD9" w:rsidRDefault="002B0789" w:rsidP="00D00D59">
          <w:pPr>
            <w:pStyle w:val="21"/>
            <w:widowControl w:val="0"/>
            <w:tabs>
              <w:tab w:val="right" w:leader="dot" w:pos="8296"/>
            </w:tabs>
            <w:ind w:left="640"/>
            <w:rPr>
              <w:rFonts w:asciiTheme="minorHAnsi" w:eastAsiaTheme="minorEastAsia" w:hAnsiTheme="minorHAnsi"/>
              <w:kern w:val="2"/>
              <w:sz w:val="21"/>
            </w:rPr>
          </w:pPr>
          <w:hyperlink w:anchor="_Toc47519209" w:history="1">
            <w:r w:rsidR="00D12C49">
              <w:rPr>
                <w:rStyle w:val="a9"/>
              </w:rPr>
              <w:t>（五）血样采集</w:t>
            </w:r>
            <w:r w:rsidR="00D12C49">
              <w:tab/>
            </w:r>
            <w:r w:rsidR="006315D9">
              <w:t>2</w:t>
            </w:r>
          </w:hyperlink>
        </w:p>
        <w:p w:rsidR="00542BD9" w:rsidRDefault="002B0789" w:rsidP="00D00D59">
          <w:pPr>
            <w:pStyle w:val="21"/>
            <w:widowControl w:val="0"/>
            <w:tabs>
              <w:tab w:val="right" w:leader="dot" w:pos="8296"/>
            </w:tabs>
            <w:ind w:left="640"/>
            <w:rPr>
              <w:rFonts w:asciiTheme="minorHAnsi" w:eastAsiaTheme="minorEastAsia" w:hAnsiTheme="minorHAnsi"/>
              <w:kern w:val="2"/>
              <w:sz w:val="21"/>
            </w:rPr>
          </w:pPr>
          <w:hyperlink w:anchor="_Toc47519210" w:history="1">
            <w:r w:rsidR="00D12C49">
              <w:rPr>
                <w:rStyle w:val="a9"/>
              </w:rPr>
              <w:t>（六）检测物质</w:t>
            </w:r>
            <w:r w:rsidR="00D12C49">
              <w:tab/>
            </w:r>
            <w:r w:rsidR="00D12C49">
              <w:fldChar w:fldCharType="begin"/>
            </w:r>
            <w:r w:rsidR="00D12C49">
              <w:instrText xml:space="preserve"> PAGEREF _Toc47519210 \h </w:instrText>
            </w:r>
            <w:r w:rsidR="00D12C49">
              <w:fldChar w:fldCharType="separate"/>
            </w:r>
            <w:r w:rsidR="00290088">
              <w:rPr>
                <w:noProof/>
              </w:rPr>
              <w:t>2</w:t>
            </w:r>
            <w:r w:rsidR="00D12C49">
              <w:fldChar w:fldCharType="end"/>
            </w:r>
          </w:hyperlink>
        </w:p>
        <w:p w:rsidR="00542BD9" w:rsidRDefault="002B0789" w:rsidP="00D00D59">
          <w:pPr>
            <w:pStyle w:val="21"/>
            <w:widowControl w:val="0"/>
            <w:tabs>
              <w:tab w:val="right" w:leader="dot" w:pos="8296"/>
            </w:tabs>
            <w:ind w:left="640"/>
            <w:rPr>
              <w:rFonts w:asciiTheme="minorHAnsi" w:eastAsiaTheme="minorEastAsia" w:hAnsiTheme="minorHAnsi"/>
              <w:kern w:val="2"/>
              <w:sz w:val="21"/>
            </w:rPr>
          </w:pPr>
          <w:hyperlink w:anchor="_Toc47519211" w:history="1">
            <w:r w:rsidR="00D12C49">
              <w:rPr>
                <w:rStyle w:val="a9"/>
              </w:rPr>
              <w:t>（七）生物等效性评价</w:t>
            </w:r>
            <w:r w:rsidR="00D12C49">
              <w:tab/>
            </w:r>
            <w:r w:rsidR="00D12C49">
              <w:fldChar w:fldCharType="begin"/>
            </w:r>
            <w:r w:rsidR="00D12C49">
              <w:instrText xml:space="preserve"> PAGEREF _Toc47519211 \h </w:instrText>
            </w:r>
            <w:r w:rsidR="00D12C49">
              <w:fldChar w:fldCharType="separate"/>
            </w:r>
            <w:r w:rsidR="00290088">
              <w:rPr>
                <w:noProof/>
              </w:rPr>
              <w:t>2</w:t>
            </w:r>
            <w:r w:rsidR="00D12C49">
              <w:fldChar w:fldCharType="end"/>
            </w:r>
          </w:hyperlink>
        </w:p>
        <w:p w:rsidR="00542BD9" w:rsidRDefault="002B0789" w:rsidP="00D00D59">
          <w:pPr>
            <w:pStyle w:val="11"/>
            <w:widowControl w:val="0"/>
            <w:tabs>
              <w:tab w:val="right" w:leader="dot" w:pos="8296"/>
            </w:tabs>
            <w:rPr>
              <w:rFonts w:asciiTheme="minorHAnsi" w:eastAsiaTheme="minorEastAsia" w:hAnsiTheme="minorHAnsi"/>
              <w:kern w:val="2"/>
              <w:sz w:val="21"/>
            </w:rPr>
          </w:pPr>
          <w:hyperlink w:anchor="_Toc47519212" w:history="1">
            <w:r w:rsidR="00D12C49">
              <w:rPr>
                <w:rStyle w:val="a9"/>
              </w:rPr>
              <w:t>三、人体生物等效性研究豁免</w:t>
            </w:r>
            <w:r w:rsidR="00D12C49">
              <w:tab/>
            </w:r>
            <w:r w:rsidR="00D12C49">
              <w:fldChar w:fldCharType="begin"/>
            </w:r>
            <w:r w:rsidR="00D12C49">
              <w:instrText xml:space="preserve"> PAGEREF _Toc47519212 \h </w:instrText>
            </w:r>
            <w:r w:rsidR="00D12C49">
              <w:fldChar w:fldCharType="separate"/>
            </w:r>
            <w:r w:rsidR="00290088">
              <w:rPr>
                <w:noProof/>
              </w:rPr>
              <w:t>2</w:t>
            </w:r>
            <w:r w:rsidR="00D12C49">
              <w:fldChar w:fldCharType="end"/>
            </w:r>
          </w:hyperlink>
        </w:p>
        <w:p w:rsidR="00542BD9" w:rsidRDefault="002B0789" w:rsidP="00D00D59">
          <w:pPr>
            <w:pStyle w:val="11"/>
            <w:widowControl w:val="0"/>
            <w:tabs>
              <w:tab w:val="right" w:leader="dot" w:pos="8296"/>
            </w:tabs>
            <w:rPr>
              <w:rFonts w:asciiTheme="minorHAnsi" w:eastAsiaTheme="minorEastAsia" w:hAnsiTheme="minorHAnsi"/>
              <w:kern w:val="2"/>
              <w:sz w:val="21"/>
            </w:rPr>
          </w:pPr>
          <w:hyperlink w:anchor="_Toc47519213" w:history="1">
            <w:r w:rsidR="00D12C49">
              <w:rPr>
                <w:rStyle w:val="a9"/>
              </w:rPr>
              <w:t>四、参考文献</w:t>
            </w:r>
            <w:r w:rsidR="00D12C49">
              <w:tab/>
            </w:r>
            <w:r w:rsidR="00D12C49">
              <w:rPr>
                <w:rFonts w:hint="eastAsia"/>
              </w:rPr>
              <w:t>3</w:t>
            </w:r>
          </w:hyperlink>
        </w:p>
        <w:p w:rsidR="00542BD9" w:rsidRDefault="00D12C49" w:rsidP="00D00D59">
          <w:pPr>
            <w:widowControl w:val="0"/>
            <w:spacing w:line="360" w:lineRule="auto"/>
          </w:pPr>
          <w:r>
            <w:fldChar w:fldCharType="end"/>
          </w:r>
        </w:p>
      </w:sdtContent>
    </w:sdt>
    <w:p w:rsidR="00A316CB" w:rsidRDefault="00A316CB" w:rsidP="00D00D59">
      <w:pPr>
        <w:widowControl w:val="0"/>
        <w:spacing w:after="0" w:line="240" w:lineRule="auto"/>
        <w:rPr>
          <w:rFonts w:eastAsia="方正小标宋简体" w:cs="Times New Roman"/>
          <w:kern w:val="2"/>
          <w:sz w:val="36"/>
          <w:szCs w:val="36"/>
        </w:rPr>
        <w:sectPr w:rsidR="00A316CB" w:rsidSect="00A316CB">
          <w:footerReference w:type="default" r:id="rId9"/>
          <w:pgSz w:w="11906" w:h="16838"/>
          <w:pgMar w:top="1440" w:right="1800" w:bottom="1440" w:left="1800" w:header="851" w:footer="992" w:gutter="0"/>
          <w:pgNumType w:start="1"/>
          <w:cols w:space="425"/>
          <w:docGrid w:type="lines" w:linePitch="435"/>
        </w:sectPr>
      </w:pPr>
    </w:p>
    <w:p w:rsidR="00542BD9" w:rsidRDefault="00D12C49" w:rsidP="00D00D59">
      <w:pPr>
        <w:widowControl w:val="0"/>
        <w:spacing w:line="360" w:lineRule="auto"/>
        <w:jc w:val="center"/>
        <w:rPr>
          <w:rFonts w:eastAsia="方正小标宋简体" w:cs="Times New Roman"/>
          <w:kern w:val="2"/>
          <w:sz w:val="36"/>
          <w:szCs w:val="36"/>
        </w:rPr>
      </w:pPr>
      <w:r>
        <w:rPr>
          <w:rFonts w:eastAsia="方正小标宋简体" w:cs="Times New Roman" w:hint="eastAsia"/>
          <w:kern w:val="2"/>
          <w:sz w:val="36"/>
          <w:szCs w:val="36"/>
        </w:rPr>
        <w:lastRenderedPageBreak/>
        <w:t>盐酸贝那普利片</w:t>
      </w:r>
      <w:r>
        <w:rPr>
          <w:rFonts w:eastAsia="方正小标宋简体" w:cs="Times New Roman"/>
          <w:kern w:val="2"/>
          <w:sz w:val="36"/>
          <w:szCs w:val="36"/>
        </w:rPr>
        <w:t>生物等效</w:t>
      </w:r>
      <w:r>
        <w:rPr>
          <w:rFonts w:eastAsia="方正小标宋简体" w:cs="Times New Roman" w:hint="eastAsia"/>
          <w:kern w:val="2"/>
          <w:sz w:val="36"/>
          <w:szCs w:val="36"/>
        </w:rPr>
        <w:t>性</w:t>
      </w:r>
      <w:r>
        <w:rPr>
          <w:rFonts w:eastAsia="方正小标宋简体" w:cs="Times New Roman"/>
          <w:kern w:val="2"/>
          <w:sz w:val="36"/>
          <w:szCs w:val="36"/>
        </w:rPr>
        <w:t>研究技术指导原则</w:t>
      </w:r>
    </w:p>
    <w:p w:rsidR="00542BD9" w:rsidRDefault="00D12C49" w:rsidP="00D00D59">
      <w:pPr>
        <w:pStyle w:val="aa"/>
        <w:keepNext w:val="0"/>
        <w:keepLines w:val="0"/>
        <w:spacing w:before="0" w:line="360" w:lineRule="auto"/>
        <w:rPr>
          <w:b w:val="0"/>
        </w:rPr>
      </w:pPr>
      <w:bookmarkStart w:id="1" w:name="_Toc47519203"/>
      <w:r>
        <w:rPr>
          <w:rFonts w:hint="eastAsia"/>
          <w:b w:val="0"/>
        </w:rPr>
        <w:t>一</w:t>
      </w:r>
      <w:r>
        <w:rPr>
          <w:b w:val="0"/>
        </w:rPr>
        <w:t>、</w:t>
      </w:r>
      <w:r>
        <w:rPr>
          <w:rFonts w:hint="eastAsia"/>
          <w:b w:val="0"/>
        </w:rPr>
        <w:t>概述</w:t>
      </w:r>
      <w:bookmarkEnd w:id="1"/>
    </w:p>
    <w:p w:rsidR="00542BD9" w:rsidRDefault="00D12C49" w:rsidP="00D00D59">
      <w:pPr>
        <w:pStyle w:val="22"/>
        <w:widowControl w:val="0"/>
        <w:spacing w:line="360" w:lineRule="auto"/>
      </w:pPr>
      <w:r>
        <w:rPr>
          <w:rFonts w:hint="eastAsia"/>
        </w:rPr>
        <w:t>盐酸贝那普利片（</w:t>
      </w:r>
      <w:r>
        <w:t>Benazepril Hydrochloride Tablets</w:t>
      </w:r>
      <w:r>
        <w:rPr>
          <w:rFonts w:hint="eastAsia"/>
        </w:rPr>
        <w:t>），用于治疗各期高血压、充血性心力衰竭，作为对洋地黄和</w:t>
      </w:r>
      <w:r>
        <w:rPr>
          <w:rFonts w:hint="eastAsia"/>
        </w:rPr>
        <w:t>/</w:t>
      </w:r>
      <w:r>
        <w:rPr>
          <w:rFonts w:hint="eastAsia"/>
        </w:rPr>
        <w:t>或利尿剂反应不佳的充血性心力衰竭病人（</w:t>
      </w:r>
      <w:r>
        <w:rPr>
          <w:rFonts w:hint="eastAsia"/>
        </w:rPr>
        <w:t>NYHA</w:t>
      </w:r>
      <w:r>
        <w:rPr>
          <w:rFonts w:hint="eastAsia"/>
        </w:rPr>
        <w:t>分级Ⅱ</w:t>
      </w:r>
      <w:r>
        <w:rPr>
          <w:rFonts w:hint="eastAsia"/>
        </w:rPr>
        <w:t>-</w:t>
      </w:r>
      <w:r>
        <w:rPr>
          <w:rFonts w:hint="eastAsia"/>
        </w:rPr>
        <w:t>Ⅳ）的辅助治疗。贝那普利在体内水解为活性代谢产物贝那普利拉。</w:t>
      </w:r>
    </w:p>
    <w:p w:rsidR="00542BD9" w:rsidRDefault="00D12C49" w:rsidP="00D00D59">
      <w:pPr>
        <w:pStyle w:val="22"/>
        <w:widowControl w:val="0"/>
        <w:spacing w:line="360" w:lineRule="auto"/>
      </w:pPr>
      <w:r>
        <w:rPr>
          <w:rFonts w:hint="eastAsia"/>
        </w:rPr>
        <w:t>盐酸贝那普利片人体生物等效性研究应符合本指导原则，还应参照《以药动学参数为终点评价指标的化学药物仿制药人体生物等效性研究技术指导原则》、《生物等效性研究的统计学指导原则》等</w:t>
      </w:r>
      <w:r>
        <w:t>相关指导原则</w:t>
      </w:r>
      <w:r>
        <w:rPr>
          <w:rFonts w:hint="eastAsia"/>
        </w:rPr>
        <w:t>要求。</w:t>
      </w:r>
    </w:p>
    <w:p w:rsidR="00542BD9" w:rsidRDefault="00D12C49" w:rsidP="00D00D59">
      <w:pPr>
        <w:pStyle w:val="aa"/>
        <w:keepNext w:val="0"/>
        <w:keepLines w:val="0"/>
        <w:spacing w:before="0" w:line="360" w:lineRule="auto"/>
        <w:rPr>
          <w:b w:val="0"/>
        </w:rPr>
      </w:pPr>
      <w:bookmarkStart w:id="2" w:name="_Toc47519204"/>
      <w:r>
        <w:rPr>
          <w:rFonts w:hint="eastAsia"/>
          <w:b w:val="0"/>
        </w:rPr>
        <w:t>二</w:t>
      </w:r>
      <w:r>
        <w:rPr>
          <w:b w:val="0"/>
        </w:rPr>
        <w:t>、</w:t>
      </w:r>
      <w:r>
        <w:rPr>
          <w:rFonts w:hint="eastAsia"/>
          <w:b w:val="0"/>
        </w:rPr>
        <w:t>人体</w:t>
      </w:r>
      <w:r>
        <w:rPr>
          <w:b w:val="0"/>
        </w:rPr>
        <w:t>生物等效性</w:t>
      </w:r>
      <w:r>
        <w:rPr>
          <w:rFonts w:hint="eastAsia"/>
          <w:b w:val="0"/>
        </w:rPr>
        <w:t>研究</w:t>
      </w:r>
      <w:r>
        <w:rPr>
          <w:b w:val="0"/>
        </w:rPr>
        <w:t>设计</w:t>
      </w:r>
      <w:bookmarkEnd w:id="2"/>
    </w:p>
    <w:p w:rsidR="00542BD9" w:rsidRDefault="00D12C49" w:rsidP="00D00D59">
      <w:pPr>
        <w:pStyle w:val="ac"/>
        <w:spacing w:line="360" w:lineRule="auto"/>
      </w:pPr>
      <w:bookmarkStart w:id="3" w:name="_Toc47519205"/>
      <w:r>
        <w:rPr>
          <w:rFonts w:hint="eastAsia"/>
        </w:rPr>
        <w:t>（一）</w:t>
      </w:r>
      <w:r>
        <w:t>研究类型</w:t>
      </w:r>
      <w:bookmarkEnd w:id="3"/>
    </w:p>
    <w:p w:rsidR="00542BD9" w:rsidRDefault="00D12C49" w:rsidP="00D00D59">
      <w:pPr>
        <w:pStyle w:val="22"/>
        <w:widowControl w:val="0"/>
        <w:spacing w:line="360" w:lineRule="auto"/>
      </w:pPr>
      <w:r>
        <w:rPr>
          <w:rFonts w:hint="eastAsia"/>
        </w:rPr>
        <w:t>采用</w:t>
      </w:r>
      <w:r>
        <w:t>两制剂、两周期、两序列交叉设计</w:t>
      </w:r>
      <w:r>
        <w:rPr>
          <w:rFonts w:hint="eastAsia"/>
        </w:rPr>
        <w:t>，</w:t>
      </w:r>
      <w:r>
        <w:t>开展单次给药的空腹及餐后生物等效性</w:t>
      </w:r>
      <w:r>
        <w:rPr>
          <w:rFonts w:hint="eastAsia"/>
        </w:rPr>
        <w:t>研究</w:t>
      </w:r>
      <w:r>
        <w:t>。</w:t>
      </w:r>
    </w:p>
    <w:p w:rsidR="00542BD9" w:rsidRDefault="00D12C49" w:rsidP="00D00D59">
      <w:pPr>
        <w:pStyle w:val="ac"/>
        <w:spacing w:line="360" w:lineRule="auto"/>
      </w:pPr>
      <w:bookmarkStart w:id="4" w:name="_Toc47519206"/>
      <w:r>
        <w:rPr>
          <w:rFonts w:hint="eastAsia"/>
        </w:rPr>
        <w:t>（二）受试人群</w:t>
      </w:r>
      <w:bookmarkEnd w:id="4"/>
    </w:p>
    <w:p w:rsidR="00542BD9" w:rsidRDefault="00D12C49" w:rsidP="00D00D59">
      <w:pPr>
        <w:pStyle w:val="22"/>
        <w:widowControl w:val="0"/>
        <w:spacing w:line="360" w:lineRule="auto"/>
      </w:pPr>
      <w:r>
        <w:rPr>
          <w:rFonts w:hint="eastAsia"/>
        </w:rPr>
        <w:t>健康受试者。</w:t>
      </w:r>
    </w:p>
    <w:p w:rsidR="00542BD9" w:rsidRDefault="00D12C49" w:rsidP="00D00D59">
      <w:pPr>
        <w:pStyle w:val="ac"/>
        <w:spacing w:line="360" w:lineRule="auto"/>
      </w:pPr>
      <w:bookmarkStart w:id="5" w:name="_Toc47519207"/>
      <w:r>
        <w:rPr>
          <w:rFonts w:hint="eastAsia"/>
        </w:rPr>
        <w:t>（三</w:t>
      </w:r>
      <w:r>
        <w:t>）给药剂量</w:t>
      </w:r>
      <w:bookmarkEnd w:id="5"/>
    </w:p>
    <w:p w:rsidR="00542BD9" w:rsidRDefault="00D12C49" w:rsidP="00D00D59">
      <w:pPr>
        <w:pStyle w:val="22"/>
        <w:widowControl w:val="0"/>
        <w:spacing w:line="360" w:lineRule="auto"/>
      </w:pPr>
      <w:r>
        <w:rPr>
          <w:rFonts w:hint="eastAsia"/>
        </w:rPr>
        <w:t>建议采用申报的最高规格单片服用</w:t>
      </w:r>
      <w:r>
        <w:t>。</w:t>
      </w:r>
    </w:p>
    <w:p w:rsidR="00542BD9" w:rsidRDefault="00D12C49" w:rsidP="00D00D59">
      <w:pPr>
        <w:pStyle w:val="ac"/>
        <w:spacing w:line="360" w:lineRule="auto"/>
      </w:pPr>
      <w:bookmarkStart w:id="6" w:name="_Toc47519208"/>
      <w:r>
        <w:t>（四）给药方法</w:t>
      </w:r>
      <w:bookmarkEnd w:id="6"/>
    </w:p>
    <w:p w:rsidR="00542BD9" w:rsidRDefault="00D12C49" w:rsidP="00D00D59">
      <w:pPr>
        <w:pStyle w:val="22"/>
        <w:widowControl w:val="0"/>
        <w:spacing w:line="360" w:lineRule="auto"/>
      </w:pPr>
      <w:r>
        <w:rPr>
          <w:rFonts w:hint="eastAsia"/>
        </w:rPr>
        <w:t>口服给药。</w:t>
      </w:r>
    </w:p>
    <w:p w:rsidR="00542BD9" w:rsidRDefault="00D12C49" w:rsidP="00D00D59">
      <w:pPr>
        <w:pStyle w:val="ac"/>
        <w:spacing w:line="360" w:lineRule="auto"/>
      </w:pPr>
      <w:bookmarkStart w:id="7" w:name="_Toc47519209"/>
      <w:r>
        <w:t>（五）血样采集</w:t>
      </w:r>
      <w:bookmarkEnd w:id="7"/>
    </w:p>
    <w:p w:rsidR="00542BD9" w:rsidRDefault="00D12C49" w:rsidP="00D00D59">
      <w:pPr>
        <w:pStyle w:val="22"/>
        <w:widowControl w:val="0"/>
        <w:spacing w:line="360" w:lineRule="auto"/>
      </w:pPr>
      <w:r>
        <w:rPr>
          <w:rFonts w:hint="eastAsia"/>
        </w:rPr>
        <w:lastRenderedPageBreak/>
        <w:t>合理设计样品采集时间，使其包含吸收、分布及消除相</w:t>
      </w:r>
      <w:r>
        <w:t>。</w:t>
      </w:r>
    </w:p>
    <w:p w:rsidR="00542BD9" w:rsidRDefault="00D12C49" w:rsidP="00D00D59">
      <w:pPr>
        <w:pStyle w:val="ac"/>
        <w:spacing w:line="360" w:lineRule="auto"/>
      </w:pPr>
      <w:bookmarkStart w:id="8" w:name="_Toc47519210"/>
      <w:r>
        <w:t>（六）检测物质</w:t>
      </w:r>
      <w:bookmarkEnd w:id="8"/>
    </w:p>
    <w:p w:rsidR="00542BD9" w:rsidRDefault="00D12C49" w:rsidP="00D00D59">
      <w:pPr>
        <w:pStyle w:val="22"/>
        <w:widowControl w:val="0"/>
        <w:spacing w:line="360" w:lineRule="auto"/>
      </w:pPr>
      <w:r>
        <w:t>血浆中</w:t>
      </w:r>
      <w:r>
        <w:rPr>
          <w:rFonts w:hint="eastAsia"/>
        </w:rPr>
        <w:t>的贝那普利及其活性代谢产物贝那普利拉</w:t>
      </w:r>
      <w:r>
        <w:t>。</w:t>
      </w:r>
    </w:p>
    <w:p w:rsidR="00542BD9" w:rsidRDefault="00D12C49" w:rsidP="00D00D59">
      <w:pPr>
        <w:pStyle w:val="ac"/>
        <w:spacing w:line="360" w:lineRule="auto"/>
      </w:pPr>
      <w:bookmarkStart w:id="9" w:name="_Toc47519211"/>
      <w:r>
        <w:t>（</w:t>
      </w:r>
      <w:r>
        <w:rPr>
          <w:rFonts w:hint="eastAsia"/>
        </w:rPr>
        <w:t>七</w:t>
      </w:r>
      <w:r>
        <w:t>）</w:t>
      </w:r>
      <w:r>
        <w:rPr>
          <w:rFonts w:hint="eastAsia"/>
        </w:rPr>
        <w:t>生物</w:t>
      </w:r>
      <w:r>
        <w:t>等效性评价</w:t>
      </w:r>
      <w:bookmarkEnd w:id="9"/>
    </w:p>
    <w:p w:rsidR="00361129" w:rsidRPr="00361129" w:rsidRDefault="00361129" w:rsidP="00D00D59">
      <w:pPr>
        <w:pStyle w:val="22"/>
        <w:widowControl w:val="0"/>
        <w:spacing w:line="360" w:lineRule="auto"/>
        <w:rPr>
          <w:rFonts w:cs="Times New Roman"/>
        </w:rPr>
      </w:pPr>
      <w:r w:rsidRPr="00361129">
        <w:rPr>
          <w:rFonts w:cs="Times New Roman" w:hint="eastAsia"/>
        </w:rPr>
        <w:t>建议以</w:t>
      </w:r>
      <w:r>
        <w:rPr>
          <w:rFonts w:hint="eastAsia"/>
        </w:rPr>
        <w:t>贝那普利</w:t>
      </w:r>
      <w:r w:rsidRPr="00361129">
        <w:rPr>
          <w:rFonts w:cs="Times New Roman" w:hint="eastAsia"/>
        </w:rPr>
        <w:t>的</w:t>
      </w:r>
      <w:r w:rsidRPr="00361129">
        <w:rPr>
          <w:rFonts w:cs="Times New Roman" w:hint="eastAsia"/>
        </w:rPr>
        <w:t>C</w:t>
      </w:r>
      <w:r w:rsidRPr="00361129">
        <w:rPr>
          <w:rFonts w:cs="Times New Roman" w:hint="eastAsia"/>
          <w:vertAlign w:val="subscript"/>
        </w:rPr>
        <w:t>max</w:t>
      </w:r>
      <w:r w:rsidRPr="00361129">
        <w:rPr>
          <w:rFonts w:cs="Times New Roman" w:hint="eastAsia"/>
        </w:rPr>
        <w:t>、</w:t>
      </w:r>
      <w:r w:rsidRPr="00361129">
        <w:rPr>
          <w:rFonts w:cs="Times New Roman" w:hint="eastAsia"/>
        </w:rPr>
        <w:t>AUC</w:t>
      </w:r>
      <w:r w:rsidRPr="00361129">
        <w:rPr>
          <w:rFonts w:cs="Times New Roman" w:hint="eastAsia"/>
          <w:vertAlign w:val="subscript"/>
        </w:rPr>
        <w:t>0-t</w:t>
      </w:r>
      <w:r w:rsidRPr="00361129">
        <w:rPr>
          <w:rFonts w:cs="Times New Roman" w:hint="eastAsia"/>
        </w:rPr>
        <w:t>和</w:t>
      </w:r>
      <w:r w:rsidRPr="00361129">
        <w:rPr>
          <w:rFonts w:cs="Times New Roman" w:hint="eastAsia"/>
        </w:rPr>
        <w:t>AUC</w:t>
      </w:r>
      <w:r w:rsidRPr="00361129">
        <w:rPr>
          <w:rFonts w:cs="Times New Roman" w:hint="eastAsia"/>
          <w:vertAlign w:val="subscript"/>
        </w:rPr>
        <w:t>0-</w:t>
      </w:r>
      <w:r w:rsidRPr="00361129">
        <w:rPr>
          <w:rFonts w:cs="Times New Roman" w:hint="eastAsia"/>
          <w:vertAlign w:val="subscript"/>
        </w:rPr>
        <w:t>∞</w:t>
      </w:r>
      <w:r w:rsidRPr="00361129">
        <w:rPr>
          <w:rFonts w:cs="Times New Roman" w:hint="eastAsia"/>
        </w:rPr>
        <w:t>作为生物等效性评价的指标，生物等效性接受标准为受试制剂与参比制剂的</w:t>
      </w:r>
      <w:r w:rsidRPr="00361129">
        <w:rPr>
          <w:rFonts w:cs="Times New Roman" w:hint="eastAsia"/>
        </w:rPr>
        <w:t>C</w:t>
      </w:r>
      <w:r w:rsidRPr="00361129">
        <w:rPr>
          <w:rFonts w:cs="Times New Roman" w:hint="eastAsia"/>
          <w:vertAlign w:val="subscript"/>
        </w:rPr>
        <w:t>max</w:t>
      </w:r>
      <w:r w:rsidRPr="00361129">
        <w:rPr>
          <w:rFonts w:cs="Times New Roman" w:hint="eastAsia"/>
        </w:rPr>
        <w:t>、</w:t>
      </w:r>
      <w:r w:rsidRPr="00361129">
        <w:rPr>
          <w:rFonts w:cs="Times New Roman" w:hint="eastAsia"/>
        </w:rPr>
        <w:t>AUC</w:t>
      </w:r>
      <w:r w:rsidRPr="00361129">
        <w:rPr>
          <w:rFonts w:cs="Times New Roman" w:hint="eastAsia"/>
          <w:vertAlign w:val="subscript"/>
        </w:rPr>
        <w:t>0-t</w:t>
      </w:r>
      <w:r w:rsidRPr="00361129">
        <w:rPr>
          <w:rFonts w:cs="Times New Roman" w:hint="eastAsia"/>
        </w:rPr>
        <w:t>和</w:t>
      </w:r>
      <w:r w:rsidRPr="00361129">
        <w:rPr>
          <w:rFonts w:cs="Times New Roman" w:hint="eastAsia"/>
        </w:rPr>
        <w:t>AUC</w:t>
      </w:r>
      <w:r w:rsidRPr="00361129">
        <w:rPr>
          <w:rFonts w:cs="Times New Roman" w:hint="eastAsia"/>
          <w:vertAlign w:val="subscript"/>
        </w:rPr>
        <w:t>0-</w:t>
      </w:r>
      <w:r w:rsidRPr="00361129">
        <w:rPr>
          <w:rFonts w:cs="Times New Roman" w:hint="eastAsia"/>
          <w:vertAlign w:val="subscript"/>
        </w:rPr>
        <w:t>∞</w:t>
      </w:r>
      <w:r w:rsidRPr="00361129">
        <w:rPr>
          <w:rFonts w:cs="Times New Roman" w:hint="eastAsia"/>
        </w:rPr>
        <w:t>的几何均值比</w:t>
      </w:r>
      <w:r w:rsidRPr="00361129">
        <w:rPr>
          <w:rFonts w:cs="Times New Roman" w:hint="eastAsia"/>
        </w:rPr>
        <w:t>90%</w:t>
      </w:r>
      <w:r w:rsidRPr="00361129">
        <w:rPr>
          <w:rFonts w:cs="Times New Roman" w:hint="eastAsia"/>
        </w:rPr>
        <w:t>置信区间在</w:t>
      </w:r>
      <w:r w:rsidRPr="00361129">
        <w:rPr>
          <w:rFonts w:cs="Times New Roman" w:hint="eastAsia"/>
        </w:rPr>
        <w:t>80.00%~125.00%</w:t>
      </w:r>
      <w:r w:rsidRPr="00361129">
        <w:rPr>
          <w:rFonts w:cs="Times New Roman" w:hint="eastAsia"/>
        </w:rPr>
        <w:t>范围内。</w:t>
      </w:r>
    </w:p>
    <w:p w:rsidR="00542BD9" w:rsidRDefault="00361129" w:rsidP="00D00D59">
      <w:pPr>
        <w:pStyle w:val="22"/>
        <w:widowControl w:val="0"/>
        <w:spacing w:line="360" w:lineRule="auto"/>
      </w:pPr>
      <w:r>
        <w:rPr>
          <w:rFonts w:hint="eastAsia"/>
        </w:rPr>
        <w:t>贝那普利拉</w:t>
      </w:r>
      <w:r w:rsidRPr="00361129">
        <w:rPr>
          <w:rFonts w:cs="Times New Roman" w:hint="eastAsia"/>
        </w:rPr>
        <w:t>的</w:t>
      </w:r>
      <w:r w:rsidRPr="00361129">
        <w:rPr>
          <w:rFonts w:cs="Times New Roman" w:hint="eastAsia"/>
        </w:rPr>
        <w:t>C</w:t>
      </w:r>
      <w:r w:rsidRPr="00361129">
        <w:rPr>
          <w:rFonts w:cs="Times New Roman" w:hint="eastAsia"/>
          <w:vertAlign w:val="subscript"/>
        </w:rPr>
        <w:t>max</w:t>
      </w:r>
      <w:r w:rsidRPr="00361129">
        <w:rPr>
          <w:rFonts w:cs="Times New Roman" w:hint="eastAsia"/>
        </w:rPr>
        <w:t>、</w:t>
      </w:r>
      <w:r w:rsidRPr="00361129">
        <w:rPr>
          <w:rFonts w:cs="Times New Roman" w:hint="eastAsia"/>
        </w:rPr>
        <w:t>AUC</w:t>
      </w:r>
      <w:r w:rsidRPr="00361129">
        <w:rPr>
          <w:rFonts w:cs="Times New Roman" w:hint="eastAsia"/>
          <w:vertAlign w:val="subscript"/>
        </w:rPr>
        <w:t>0-t</w:t>
      </w:r>
      <w:r w:rsidRPr="00361129">
        <w:rPr>
          <w:rFonts w:cs="Times New Roman" w:hint="eastAsia"/>
        </w:rPr>
        <w:t>和</w:t>
      </w:r>
      <w:r w:rsidRPr="00361129">
        <w:rPr>
          <w:rFonts w:cs="Times New Roman" w:hint="eastAsia"/>
        </w:rPr>
        <w:t>AUC</w:t>
      </w:r>
      <w:r w:rsidRPr="00361129">
        <w:rPr>
          <w:rFonts w:cs="Times New Roman" w:hint="eastAsia"/>
          <w:vertAlign w:val="subscript"/>
        </w:rPr>
        <w:t>0-</w:t>
      </w:r>
      <w:r w:rsidRPr="00361129">
        <w:rPr>
          <w:rFonts w:cs="Times New Roman" w:hint="eastAsia"/>
          <w:vertAlign w:val="subscript"/>
        </w:rPr>
        <w:t>∞</w:t>
      </w:r>
      <w:r w:rsidRPr="00361129">
        <w:rPr>
          <w:rFonts w:cs="Times New Roman" w:hint="eastAsia"/>
        </w:rPr>
        <w:t>用于进一步支持临床疗效的可比性。</w:t>
      </w:r>
    </w:p>
    <w:p w:rsidR="00542BD9" w:rsidRDefault="00D12C49" w:rsidP="00D00D59">
      <w:pPr>
        <w:pStyle w:val="aa"/>
        <w:keepNext w:val="0"/>
        <w:keepLines w:val="0"/>
        <w:spacing w:before="0" w:line="360" w:lineRule="auto"/>
        <w:rPr>
          <w:b w:val="0"/>
        </w:rPr>
      </w:pPr>
      <w:bookmarkStart w:id="10" w:name="_Toc47519212"/>
      <w:r>
        <w:rPr>
          <w:rFonts w:hint="eastAsia"/>
          <w:b w:val="0"/>
        </w:rPr>
        <w:t>三</w:t>
      </w:r>
      <w:r>
        <w:rPr>
          <w:b w:val="0"/>
        </w:rPr>
        <w:t>、</w:t>
      </w:r>
      <w:r>
        <w:rPr>
          <w:rFonts w:hint="eastAsia"/>
          <w:b w:val="0"/>
        </w:rPr>
        <w:t>人体</w:t>
      </w:r>
      <w:r>
        <w:rPr>
          <w:b w:val="0"/>
        </w:rPr>
        <w:t>生物等效性研究豁免</w:t>
      </w:r>
      <w:bookmarkEnd w:id="10"/>
    </w:p>
    <w:p w:rsidR="00542BD9" w:rsidRDefault="00D12C49" w:rsidP="00D00D59">
      <w:pPr>
        <w:pStyle w:val="22"/>
        <w:widowControl w:val="0"/>
        <w:spacing w:line="360" w:lineRule="auto"/>
      </w:pPr>
      <w:r>
        <w:rPr>
          <w:rFonts w:cs="Times New Roman"/>
        </w:rPr>
        <w:t>若同时满足以下条件，可豁免低规格制剂的人体生物等效性研究：</w:t>
      </w:r>
      <w:r>
        <w:rPr>
          <w:rFonts w:cs="Times New Roman" w:hint="eastAsia"/>
        </w:rPr>
        <w:t>（</w:t>
      </w:r>
      <w:r>
        <w:rPr>
          <w:rFonts w:cs="Times New Roman" w:hint="eastAsia"/>
        </w:rPr>
        <w:t>1</w:t>
      </w:r>
      <w:r>
        <w:rPr>
          <w:rFonts w:cs="Times New Roman" w:hint="eastAsia"/>
        </w:rPr>
        <w:t>）</w:t>
      </w:r>
      <w:r>
        <w:rPr>
          <w:rFonts w:cs="Times New Roman"/>
        </w:rPr>
        <w:t>申报的最高规格制剂符合生物等效性要求；</w:t>
      </w:r>
      <w:r>
        <w:rPr>
          <w:rFonts w:cs="Times New Roman" w:hint="eastAsia"/>
        </w:rPr>
        <w:t>（</w:t>
      </w:r>
      <w:r>
        <w:rPr>
          <w:rFonts w:cs="Times New Roman" w:hint="eastAsia"/>
        </w:rPr>
        <w:t>2</w:t>
      </w:r>
      <w:r>
        <w:rPr>
          <w:rFonts w:cs="Times New Roman" w:hint="eastAsia"/>
        </w:rPr>
        <w:t>）</w:t>
      </w:r>
      <w:r>
        <w:rPr>
          <w:rFonts w:cs="Times New Roman"/>
        </w:rPr>
        <w:t>各规格制剂在不同</w:t>
      </w:r>
      <w:r>
        <w:rPr>
          <w:rFonts w:cs="Times New Roman"/>
        </w:rPr>
        <w:t>pH</w:t>
      </w:r>
      <w:r>
        <w:rPr>
          <w:rFonts w:cs="Times New Roman"/>
        </w:rPr>
        <w:t>介质中体外溶出曲线相似；</w:t>
      </w:r>
      <w:r>
        <w:rPr>
          <w:rFonts w:cs="Times New Roman" w:hint="eastAsia"/>
        </w:rPr>
        <w:t>（</w:t>
      </w:r>
      <w:r>
        <w:rPr>
          <w:rFonts w:cs="Times New Roman" w:hint="eastAsia"/>
        </w:rPr>
        <w:t>3</w:t>
      </w:r>
      <w:r>
        <w:rPr>
          <w:rFonts w:cs="Times New Roman" w:hint="eastAsia"/>
        </w:rPr>
        <w:t>）</w:t>
      </w:r>
      <w:r>
        <w:rPr>
          <w:rFonts w:cs="Times New Roman"/>
        </w:rPr>
        <w:t>各规格制剂的处方比例相似。</w:t>
      </w:r>
    </w:p>
    <w:p w:rsidR="00542BD9" w:rsidRDefault="00D12C49" w:rsidP="00D00D59">
      <w:pPr>
        <w:pStyle w:val="aa"/>
        <w:keepNext w:val="0"/>
        <w:keepLines w:val="0"/>
        <w:spacing w:before="0" w:line="360" w:lineRule="auto"/>
        <w:rPr>
          <w:b w:val="0"/>
        </w:rPr>
      </w:pPr>
      <w:bookmarkStart w:id="11" w:name="_Toc47519213"/>
      <w:r>
        <w:rPr>
          <w:rFonts w:hint="eastAsia"/>
          <w:b w:val="0"/>
        </w:rPr>
        <w:t>四</w:t>
      </w:r>
      <w:r>
        <w:rPr>
          <w:b w:val="0"/>
        </w:rPr>
        <w:t>、参考文献</w:t>
      </w:r>
      <w:bookmarkEnd w:id="11"/>
    </w:p>
    <w:p w:rsidR="00542BD9" w:rsidRDefault="00D12C49" w:rsidP="00D00D59">
      <w:pPr>
        <w:pStyle w:val="22"/>
        <w:widowControl w:val="0"/>
        <w:spacing w:line="360" w:lineRule="auto"/>
        <w:rPr>
          <w:rFonts w:cs="Times New Roman"/>
        </w:rPr>
      </w:pPr>
      <w:r>
        <w:rPr>
          <w:rFonts w:cs="Times New Roman"/>
        </w:rPr>
        <w:t xml:space="preserve">1. </w:t>
      </w:r>
      <w:r>
        <w:rPr>
          <w:rFonts w:cs="Times New Roman"/>
        </w:rPr>
        <w:t>国家药品监督管理局</w:t>
      </w:r>
      <w:r>
        <w:rPr>
          <w:rFonts w:cs="Times New Roman"/>
        </w:rPr>
        <w:t>.</w:t>
      </w:r>
      <w:r>
        <w:rPr>
          <w:rFonts w:cs="Times New Roman" w:hint="eastAsia"/>
        </w:rPr>
        <w:t>盐酸贝那普利片</w:t>
      </w:r>
      <w:r>
        <w:rPr>
          <w:rFonts w:cs="Times New Roman"/>
        </w:rPr>
        <w:t>说明书</w:t>
      </w:r>
      <w:r>
        <w:rPr>
          <w:rFonts w:cs="Times New Roman" w:hint="eastAsia"/>
        </w:rPr>
        <w:t>.</w:t>
      </w:r>
      <w:r>
        <w:rPr>
          <w:rFonts w:cs="Times New Roman"/>
        </w:rPr>
        <w:t xml:space="preserve">2012. </w:t>
      </w:r>
    </w:p>
    <w:p w:rsidR="00542BD9" w:rsidRDefault="00D12C49" w:rsidP="00D00D59">
      <w:pPr>
        <w:pStyle w:val="22"/>
        <w:widowControl w:val="0"/>
        <w:spacing w:line="360" w:lineRule="auto"/>
        <w:rPr>
          <w:rFonts w:cs="Times New Roman"/>
        </w:rPr>
      </w:pPr>
      <w:r>
        <w:rPr>
          <w:rFonts w:cs="Times New Roman" w:hint="eastAsia"/>
        </w:rPr>
        <w:t xml:space="preserve">2. </w:t>
      </w:r>
      <w:r>
        <w:rPr>
          <w:rFonts w:cs="Times New Roman"/>
        </w:rPr>
        <w:t>国家药品监督管理局</w:t>
      </w:r>
      <w:r>
        <w:rPr>
          <w:rFonts w:cs="Times New Roman"/>
        </w:rPr>
        <w:t>.</w:t>
      </w:r>
      <w:r>
        <w:rPr>
          <w:rFonts w:cs="Times New Roman" w:hint="eastAsia"/>
        </w:rPr>
        <w:t>《</w:t>
      </w:r>
      <w:r>
        <w:rPr>
          <w:rFonts w:cs="Times New Roman"/>
        </w:rPr>
        <w:t>以药动学参数为终点评价指标的化学药物仿制药人体生物等效性研究技术指导原则</w:t>
      </w:r>
      <w:r>
        <w:rPr>
          <w:rFonts w:cs="Times New Roman" w:hint="eastAsia"/>
        </w:rPr>
        <w:t>》</w:t>
      </w:r>
      <w:r>
        <w:rPr>
          <w:rFonts w:cs="Times New Roman" w:hint="eastAsia"/>
        </w:rPr>
        <w:t>.2016</w:t>
      </w:r>
      <w:r>
        <w:rPr>
          <w:rFonts w:cs="Times New Roman"/>
        </w:rPr>
        <w:t>.</w:t>
      </w:r>
    </w:p>
    <w:p w:rsidR="00542BD9" w:rsidRDefault="00D12C49" w:rsidP="00D00D59">
      <w:pPr>
        <w:pStyle w:val="22"/>
        <w:widowControl w:val="0"/>
        <w:spacing w:line="360" w:lineRule="auto"/>
        <w:rPr>
          <w:rFonts w:cs="Times New Roman"/>
        </w:rPr>
      </w:pPr>
      <w:r>
        <w:rPr>
          <w:rFonts w:cs="Times New Roman" w:hint="eastAsia"/>
        </w:rPr>
        <w:t xml:space="preserve">3. </w:t>
      </w:r>
      <w:r>
        <w:rPr>
          <w:rFonts w:cs="Times New Roman"/>
        </w:rPr>
        <w:t>国家药品监督管理局</w:t>
      </w:r>
      <w:r>
        <w:rPr>
          <w:rFonts w:cs="Times New Roman"/>
        </w:rPr>
        <w:t>.</w:t>
      </w:r>
      <w:r>
        <w:rPr>
          <w:rFonts w:cs="Times New Roman" w:hint="eastAsia"/>
        </w:rPr>
        <w:t>《</w:t>
      </w:r>
      <w:r>
        <w:rPr>
          <w:rFonts w:cs="Times New Roman"/>
        </w:rPr>
        <w:t>生物等效性研究</w:t>
      </w:r>
      <w:r w:rsidR="00D46606">
        <w:rPr>
          <w:rFonts w:cs="Times New Roman" w:hint="eastAsia"/>
        </w:rPr>
        <w:t>的</w:t>
      </w:r>
      <w:r>
        <w:rPr>
          <w:rFonts w:cs="Times New Roman"/>
        </w:rPr>
        <w:t>统计学指</w:t>
      </w:r>
      <w:r>
        <w:rPr>
          <w:rFonts w:cs="Times New Roman"/>
        </w:rPr>
        <w:lastRenderedPageBreak/>
        <w:t>导原则</w:t>
      </w:r>
      <w:r>
        <w:rPr>
          <w:rFonts w:cs="Times New Roman" w:hint="eastAsia"/>
        </w:rPr>
        <w:t>》</w:t>
      </w:r>
      <w:r>
        <w:rPr>
          <w:rFonts w:cs="Times New Roman" w:hint="eastAsia"/>
        </w:rPr>
        <w:t>.</w:t>
      </w:r>
      <w:r>
        <w:rPr>
          <w:rFonts w:cs="Times New Roman"/>
        </w:rPr>
        <w:t>2018.</w:t>
      </w:r>
    </w:p>
    <w:p w:rsidR="00542BD9" w:rsidRDefault="00D12C49" w:rsidP="00D00D59">
      <w:pPr>
        <w:pStyle w:val="22"/>
        <w:widowControl w:val="0"/>
        <w:spacing w:line="360" w:lineRule="auto"/>
        <w:rPr>
          <w:rFonts w:cs="Times New Roman"/>
        </w:rPr>
      </w:pPr>
      <w:r>
        <w:rPr>
          <w:rFonts w:cs="Times New Roman"/>
        </w:rPr>
        <w:t>4</w:t>
      </w:r>
      <w:r>
        <w:rPr>
          <w:rFonts w:cs="Times New Roman" w:hint="eastAsia"/>
        </w:rPr>
        <w:t>.</w:t>
      </w:r>
      <w:r>
        <w:rPr>
          <w:rFonts w:cs="Times New Roman"/>
        </w:rPr>
        <w:t xml:space="preserve"> U.S.</w:t>
      </w:r>
      <w:r>
        <w:rPr>
          <w:rFonts w:cs="Times New Roman" w:hint="eastAsia"/>
        </w:rPr>
        <w:t xml:space="preserve"> </w:t>
      </w:r>
      <w:r>
        <w:rPr>
          <w:rFonts w:cs="Times New Roman"/>
        </w:rPr>
        <w:t>Food and Drug Administration.</w:t>
      </w:r>
      <w:r>
        <w:rPr>
          <w:rFonts w:cs="Times New Roman" w:hint="eastAsia"/>
        </w:rPr>
        <w:t xml:space="preserve"> </w:t>
      </w:r>
      <w:r w:rsidRPr="00821235">
        <w:rPr>
          <w:rFonts w:cs="Times New Roman"/>
        </w:rPr>
        <w:t xml:space="preserve">Guidance on </w:t>
      </w:r>
      <w:r w:rsidRPr="00821235">
        <w:rPr>
          <w:rFonts w:cs="Times New Roman" w:hint="eastAsia"/>
        </w:rPr>
        <w:t xml:space="preserve"> Benazepril Hydrochloride</w:t>
      </w:r>
      <w:r>
        <w:rPr>
          <w:rFonts w:cs="Times New Roman"/>
        </w:rPr>
        <w:t>.</w:t>
      </w:r>
      <w:r>
        <w:rPr>
          <w:rFonts w:cs="Times New Roman" w:hint="eastAsia"/>
        </w:rPr>
        <w:t xml:space="preserve"> </w:t>
      </w:r>
      <w:r>
        <w:rPr>
          <w:rFonts w:cs="Times New Roman"/>
        </w:rPr>
        <w:t>2010.</w:t>
      </w:r>
    </w:p>
    <w:sectPr w:rsidR="00542BD9">
      <w:pgSz w:w="11906" w:h="16838"/>
      <w:pgMar w:top="1440" w:right="1800" w:bottom="1440" w:left="1800" w:header="851" w:footer="992" w:gutter="0"/>
      <w:lnNumType w:countBy="1" w:restart="continuous"/>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789" w:rsidRDefault="002B0789">
      <w:pPr>
        <w:spacing w:after="0" w:line="240" w:lineRule="auto"/>
      </w:pPr>
      <w:r>
        <w:separator/>
      </w:r>
    </w:p>
  </w:endnote>
  <w:endnote w:type="continuationSeparator" w:id="0">
    <w:p w:rsidR="002B0789" w:rsidRDefault="002B0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BD9" w:rsidRDefault="00542BD9">
    <w:pPr>
      <w:pStyle w:val="a5"/>
      <w:jc w:val="center"/>
    </w:pPr>
  </w:p>
  <w:p w:rsidR="00542BD9" w:rsidRDefault="00542BD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949775"/>
    </w:sdtPr>
    <w:sdtEndPr/>
    <w:sdtContent>
      <w:p w:rsidR="00542BD9" w:rsidRDefault="00D12C49">
        <w:pPr>
          <w:pStyle w:val="a5"/>
          <w:jc w:val="center"/>
        </w:pPr>
        <w:r>
          <w:fldChar w:fldCharType="begin"/>
        </w:r>
        <w:r>
          <w:instrText>PAGE   \* MERGEFORMAT</w:instrText>
        </w:r>
        <w:r>
          <w:fldChar w:fldCharType="separate"/>
        </w:r>
        <w:r w:rsidR="000B5016" w:rsidRPr="000B5016">
          <w:rPr>
            <w:noProof/>
            <w:lang w:val="zh-CN"/>
          </w:rPr>
          <w:t>1</w:t>
        </w:r>
        <w:r>
          <w:fldChar w:fldCharType="end"/>
        </w:r>
      </w:p>
    </w:sdtContent>
  </w:sdt>
  <w:p w:rsidR="00542BD9" w:rsidRDefault="00542BD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789" w:rsidRDefault="002B0789">
      <w:pPr>
        <w:spacing w:after="0" w:line="240" w:lineRule="auto"/>
      </w:pPr>
      <w:r>
        <w:separator/>
      </w:r>
    </w:p>
  </w:footnote>
  <w:footnote w:type="continuationSeparator" w:id="0">
    <w:p w:rsidR="002B0789" w:rsidRDefault="002B07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E9F"/>
    <w:rsid w:val="000035EE"/>
    <w:rsid w:val="0000462C"/>
    <w:rsid w:val="00004FFB"/>
    <w:rsid w:val="00014DCE"/>
    <w:rsid w:val="00015AC9"/>
    <w:rsid w:val="00015C0E"/>
    <w:rsid w:val="00021632"/>
    <w:rsid w:val="000241AF"/>
    <w:rsid w:val="00025AEB"/>
    <w:rsid w:val="0002606C"/>
    <w:rsid w:val="00027319"/>
    <w:rsid w:val="0003316B"/>
    <w:rsid w:val="0003512F"/>
    <w:rsid w:val="00037FE7"/>
    <w:rsid w:val="0004020E"/>
    <w:rsid w:val="000402AB"/>
    <w:rsid w:val="000406E9"/>
    <w:rsid w:val="000413FB"/>
    <w:rsid w:val="000434A1"/>
    <w:rsid w:val="00043A0C"/>
    <w:rsid w:val="00043A45"/>
    <w:rsid w:val="0004495F"/>
    <w:rsid w:val="00047617"/>
    <w:rsid w:val="00047EFE"/>
    <w:rsid w:val="00050897"/>
    <w:rsid w:val="000512AE"/>
    <w:rsid w:val="00052B30"/>
    <w:rsid w:val="00055198"/>
    <w:rsid w:val="000579ED"/>
    <w:rsid w:val="00065131"/>
    <w:rsid w:val="00067911"/>
    <w:rsid w:val="00072A51"/>
    <w:rsid w:val="00076465"/>
    <w:rsid w:val="00076A6E"/>
    <w:rsid w:val="0008022F"/>
    <w:rsid w:val="00083A39"/>
    <w:rsid w:val="00084F4F"/>
    <w:rsid w:val="00090642"/>
    <w:rsid w:val="000956E2"/>
    <w:rsid w:val="000B092B"/>
    <w:rsid w:val="000B103C"/>
    <w:rsid w:val="000B1C1E"/>
    <w:rsid w:val="000B369F"/>
    <w:rsid w:val="000B389E"/>
    <w:rsid w:val="000B3DE4"/>
    <w:rsid w:val="000B5016"/>
    <w:rsid w:val="000B565D"/>
    <w:rsid w:val="000B692A"/>
    <w:rsid w:val="000C0956"/>
    <w:rsid w:val="000C2971"/>
    <w:rsid w:val="000C4FB8"/>
    <w:rsid w:val="000C557C"/>
    <w:rsid w:val="000C6D69"/>
    <w:rsid w:val="000D0E1A"/>
    <w:rsid w:val="000D3550"/>
    <w:rsid w:val="000D55EF"/>
    <w:rsid w:val="000D6020"/>
    <w:rsid w:val="000E1CD8"/>
    <w:rsid w:val="000E5FF9"/>
    <w:rsid w:val="000E674A"/>
    <w:rsid w:val="000F0B8A"/>
    <w:rsid w:val="000F107E"/>
    <w:rsid w:val="000F1486"/>
    <w:rsid w:val="000F199A"/>
    <w:rsid w:val="000F322B"/>
    <w:rsid w:val="000F4036"/>
    <w:rsid w:val="000F533D"/>
    <w:rsid w:val="000F7CB7"/>
    <w:rsid w:val="00100C62"/>
    <w:rsid w:val="0010597C"/>
    <w:rsid w:val="0010763B"/>
    <w:rsid w:val="00111DFD"/>
    <w:rsid w:val="0011267E"/>
    <w:rsid w:val="00114F90"/>
    <w:rsid w:val="00123735"/>
    <w:rsid w:val="00124339"/>
    <w:rsid w:val="00124B53"/>
    <w:rsid w:val="00133FF9"/>
    <w:rsid w:val="00135486"/>
    <w:rsid w:val="00136305"/>
    <w:rsid w:val="00136850"/>
    <w:rsid w:val="00141CFC"/>
    <w:rsid w:val="00142744"/>
    <w:rsid w:val="00143B59"/>
    <w:rsid w:val="001467F4"/>
    <w:rsid w:val="00150A95"/>
    <w:rsid w:val="0015492C"/>
    <w:rsid w:val="00162F54"/>
    <w:rsid w:val="00167405"/>
    <w:rsid w:val="00167922"/>
    <w:rsid w:val="00173FA3"/>
    <w:rsid w:val="0017608F"/>
    <w:rsid w:val="00176AC6"/>
    <w:rsid w:val="00183337"/>
    <w:rsid w:val="001860D1"/>
    <w:rsid w:val="0018646B"/>
    <w:rsid w:val="001869E6"/>
    <w:rsid w:val="00187359"/>
    <w:rsid w:val="00190459"/>
    <w:rsid w:val="00193348"/>
    <w:rsid w:val="00193C31"/>
    <w:rsid w:val="0019424E"/>
    <w:rsid w:val="00196242"/>
    <w:rsid w:val="001A0235"/>
    <w:rsid w:val="001A6867"/>
    <w:rsid w:val="001A7901"/>
    <w:rsid w:val="001A7C98"/>
    <w:rsid w:val="001B0446"/>
    <w:rsid w:val="001B59A8"/>
    <w:rsid w:val="001B7CA2"/>
    <w:rsid w:val="001B7D72"/>
    <w:rsid w:val="001C0367"/>
    <w:rsid w:val="001C108B"/>
    <w:rsid w:val="001C4ED3"/>
    <w:rsid w:val="001C5993"/>
    <w:rsid w:val="001D0CD7"/>
    <w:rsid w:val="001D1C60"/>
    <w:rsid w:val="001D43B8"/>
    <w:rsid w:val="001D45D8"/>
    <w:rsid w:val="001D7490"/>
    <w:rsid w:val="001E7245"/>
    <w:rsid w:val="001F0E2E"/>
    <w:rsid w:val="001F19BF"/>
    <w:rsid w:val="001F36BA"/>
    <w:rsid w:val="001F4620"/>
    <w:rsid w:val="001F4F29"/>
    <w:rsid w:val="001F5E2A"/>
    <w:rsid w:val="001F6B2A"/>
    <w:rsid w:val="00205CB0"/>
    <w:rsid w:val="00211CD5"/>
    <w:rsid w:val="00214D31"/>
    <w:rsid w:val="00216462"/>
    <w:rsid w:val="00217E51"/>
    <w:rsid w:val="002205F8"/>
    <w:rsid w:val="00220C75"/>
    <w:rsid w:val="00222BA5"/>
    <w:rsid w:val="002236FE"/>
    <w:rsid w:val="002254F3"/>
    <w:rsid w:val="00232A24"/>
    <w:rsid w:val="00233637"/>
    <w:rsid w:val="00233B02"/>
    <w:rsid w:val="002352FC"/>
    <w:rsid w:val="00235D68"/>
    <w:rsid w:val="0023737F"/>
    <w:rsid w:val="00240A56"/>
    <w:rsid w:val="0024101A"/>
    <w:rsid w:val="0024310B"/>
    <w:rsid w:val="00246AC4"/>
    <w:rsid w:val="002504AE"/>
    <w:rsid w:val="00251318"/>
    <w:rsid w:val="002516CD"/>
    <w:rsid w:val="00255444"/>
    <w:rsid w:val="00264E62"/>
    <w:rsid w:val="00266892"/>
    <w:rsid w:val="002709EE"/>
    <w:rsid w:val="00274C4B"/>
    <w:rsid w:val="002750AC"/>
    <w:rsid w:val="00285DC5"/>
    <w:rsid w:val="00290088"/>
    <w:rsid w:val="002907A0"/>
    <w:rsid w:val="00291880"/>
    <w:rsid w:val="00292D7F"/>
    <w:rsid w:val="002965C2"/>
    <w:rsid w:val="00297B61"/>
    <w:rsid w:val="002A44DA"/>
    <w:rsid w:val="002A720F"/>
    <w:rsid w:val="002A7C62"/>
    <w:rsid w:val="002B0605"/>
    <w:rsid w:val="002B0789"/>
    <w:rsid w:val="002B17FB"/>
    <w:rsid w:val="002B4B2A"/>
    <w:rsid w:val="002B5893"/>
    <w:rsid w:val="002B7370"/>
    <w:rsid w:val="002B773E"/>
    <w:rsid w:val="002C304F"/>
    <w:rsid w:val="002D1356"/>
    <w:rsid w:val="002D1933"/>
    <w:rsid w:val="002D49DA"/>
    <w:rsid w:val="002D519D"/>
    <w:rsid w:val="002D7288"/>
    <w:rsid w:val="002E0ED4"/>
    <w:rsid w:val="002E4BB5"/>
    <w:rsid w:val="002E5263"/>
    <w:rsid w:val="002F232E"/>
    <w:rsid w:val="002F27F2"/>
    <w:rsid w:val="002F6DFE"/>
    <w:rsid w:val="0030141F"/>
    <w:rsid w:val="003019EA"/>
    <w:rsid w:val="00303F9F"/>
    <w:rsid w:val="003064F3"/>
    <w:rsid w:val="003140BD"/>
    <w:rsid w:val="00315419"/>
    <w:rsid w:val="00316E1B"/>
    <w:rsid w:val="00317B67"/>
    <w:rsid w:val="00320712"/>
    <w:rsid w:val="003229CB"/>
    <w:rsid w:val="00322CE9"/>
    <w:rsid w:val="0032390D"/>
    <w:rsid w:val="003261F8"/>
    <w:rsid w:val="00327049"/>
    <w:rsid w:val="0032735D"/>
    <w:rsid w:val="003313A5"/>
    <w:rsid w:val="00331C06"/>
    <w:rsid w:val="00331C6A"/>
    <w:rsid w:val="003346BA"/>
    <w:rsid w:val="00340192"/>
    <w:rsid w:val="00340EB8"/>
    <w:rsid w:val="003441A0"/>
    <w:rsid w:val="003441FE"/>
    <w:rsid w:val="0034633B"/>
    <w:rsid w:val="00352657"/>
    <w:rsid w:val="00357CA0"/>
    <w:rsid w:val="00361129"/>
    <w:rsid w:val="0036126A"/>
    <w:rsid w:val="00364B95"/>
    <w:rsid w:val="00371AD0"/>
    <w:rsid w:val="0037483C"/>
    <w:rsid w:val="00376BF4"/>
    <w:rsid w:val="0037795C"/>
    <w:rsid w:val="00382903"/>
    <w:rsid w:val="003843B7"/>
    <w:rsid w:val="003858BA"/>
    <w:rsid w:val="00390107"/>
    <w:rsid w:val="00390759"/>
    <w:rsid w:val="00393BD9"/>
    <w:rsid w:val="00394B48"/>
    <w:rsid w:val="00394F7D"/>
    <w:rsid w:val="00396FF1"/>
    <w:rsid w:val="003B1470"/>
    <w:rsid w:val="003B2AAC"/>
    <w:rsid w:val="003B4949"/>
    <w:rsid w:val="003B6837"/>
    <w:rsid w:val="003C4C75"/>
    <w:rsid w:val="003C56D0"/>
    <w:rsid w:val="003C75D0"/>
    <w:rsid w:val="003D1698"/>
    <w:rsid w:val="003D4DB4"/>
    <w:rsid w:val="003D4F55"/>
    <w:rsid w:val="003D5F6E"/>
    <w:rsid w:val="003D7EA8"/>
    <w:rsid w:val="003E01F3"/>
    <w:rsid w:val="003E0558"/>
    <w:rsid w:val="003E2CA3"/>
    <w:rsid w:val="003E3B0F"/>
    <w:rsid w:val="003E6517"/>
    <w:rsid w:val="003F284F"/>
    <w:rsid w:val="003F5B2A"/>
    <w:rsid w:val="003F6146"/>
    <w:rsid w:val="003F7701"/>
    <w:rsid w:val="004005FC"/>
    <w:rsid w:val="00401B4A"/>
    <w:rsid w:val="00402A96"/>
    <w:rsid w:val="00404CE6"/>
    <w:rsid w:val="004050CF"/>
    <w:rsid w:val="00405C75"/>
    <w:rsid w:val="00406C11"/>
    <w:rsid w:val="00407587"/>
    <w:rsid w:val="00407FAE"/>
    <w:rsid w:val="00410817"/>
    <w:rsid w:val="00413967"/>
    <w:rsid w:val="0041443E"/>
    <w:rsid w:val="00414461"/>
    <w:rsid w:val="00414C06"/>
    <w:rsid w:val="00415123"/>
    <w:rsid w:val="00422925"/>
    <w:rsid w:val="00422973"/>
    <w:rsid w:val="00424190"/>
    <w:rsid w:val="004277A9"/>
    <w:rsid w:val="00432620"/>
    <w:rsid w:val="00432655"/>
    <w:rsid w:val="00432680"/>
    <w:rsid w:val="004352A9"/>
    <w:rsid w:val="00436A71"/>
    <w:rsid w:val="00436B4D"/>
    <w:rsid w:val="004417B0"/>
    <w:rsid w:val="00442F86"/>
    <w:rsid w:val="00442FDA"/>
    <w:rsid w:val="004439D4"/>
    <w:rsid w:val="00446744"/>
    <w:rsid w:val="00447189"/>
    <w:rsid w:val="00451AF2"/>
    <w:rsid w:val="004535DB"/>
    <w:rsid w:val="00454AA5"/>
    <w:rsid w:val="00457466"/>
    <w:rsid w:val="00457B03"/>
    <w:rsid w:val="004600FD"/>
    <w:rsid w:val="00461DCF"/>
    <w:rsid w:val="00463F83"/>
    <w:rsid w:val="00464D31"/>
    <w:rsid w:val="00466654"/>
    <w:rsid w:val="00470337"/>
    <w:rsid w:val="00473687"/>
    <w:rsid w:val="004771CA"/>
    <w:rsid w:val="00480956"/>
    <w:rsid w:val="004811F8"/>
    <w:rsid w:val="0048403A"/>
    <w:rsid w:val="00484A07"/>
    <w:rsid w:val="004851EB"/>
    <w:rsid w:val="00487156"/>
    <w:rsid w:val="0049044E"/>
    <w:rsid w:val="00490C7B"/>
    <w:rsid w:val="00494F10"/>
    <w:rsid w:val="004A1D63"/>
    <w:rsid w:val="004A2843"/>
    <w:rsid w:val="004A4896"/>
    <w:rsid w:val="004A4C6F"/>
    <w:rsid w:val="004A6952"/>
    <w:rsid w:val="004A7EE3"/>
    <w:rsid w:val="004B14EF"/>
    <w:rsid w:val="004B4067"/>
    <w:rsid w:val="004B5B3C"/>
    <w:rsid w:val="004C20EE"/>
    <w:rsid w:val="004C3168"/>
    <w:rsid w:val="004C387D"/>
    <w:rsid w:val="004C43C6"/>
    <w:rsid w:val="004D113A"/>
    <w:rsid w:val="004D26ED"/>
    <w:rsid w:val="004D394F"/>
    <w:rsid w:val="004D60B8"/>
    <w:rsid w:val="004D7A27"/>
    <w:rsid w:val="004E2BDB"/>
    <w:rsid w:val="004F0C44"/>
    <w:rsid w:val="004F1305"/>
    <w:rsid w:val="004F70C8"/>
    <w:rsid w:val="005004F4"/>
    <w:rsid w:val="00503F17"/>
    <w:rsid w:val="0050733D"/>
    <w:rsid w:val="00510645"/>
    <w:rsid w:val="00517A39"/>
    <w:rsid w:val="00517E29"/>
    <w:rsid w:val="0053011E"/>
    <w:rsid w:val="0053040D"/>
    <w:rsid w:val="005343A1"/>
    <w:rsid w:val="00535025"/>
    <w:rsid w:val="0053776E"/>
    <w:rsid w:val="0054065E"/>
    <w:rsid w:val="00541451"/>
    <w:rsid w:val="00542BD9"/>
    <w:rsid w:val="00543973"/>
    <w:rsid w:val="005446E1"/>
    <w:rsid w:val="00544A74"/>
    <w:rsid w:val="00547615"/>
    <w:rsid w:val="00553271"/>
    <w:rsid w:val="00553F8F"/>
    <w:rsid w:val="00557456"/>
    <w:rsid w:val="00557F23"/>
    <w:rsid w:val="00566E95"/>
    <w:rsid w:val="00573677"/>
    <w:rsid w:val="00577453"/>
    <w:rsid w:val="00583CCB"/>
    <w:rsid w:val="00583D05"/>
    <w:rsid w:val="00586A94"/>
    <w:rsid w:val="00596294"/>
    <w:rsid w:val="005A0E55"/>
    <w:rsid w:val="005A2167"/>
    <w:rsid w:val="005A26F3"/>
    <w:rsid w:val="005A2F2B"/>
    <w:rsid w:val="005A487D"/>
    <w:rsid w:val="005A660B"/>
    <w:rsid w:val="005B1E13"/>
    <w:rsid w:val="005B6911"/>
    <w:rsid w:val="005C194D"/>
    <w:rsid w:val="005C2BBB"/>
    <w:rsid w:val="005C344C"/>
    <w:rsid w:val="005C6B49"/>
    <w:rsid w:val="005D2A50"/>
    <w:rsid w:val="005D7910"/>
    <w:rsid w:val="005E0422"/>
    <w:rsid w:val="005E0D2A"/>
    <w:rsid w:val="005E5616"/>
    <w:rsid w:val="005F17E6"/>
    <w:rsid w:val="005F1B33"/>
    <w:rsid w:val="005F1D54"/>
    <w:rsid w:val="005F3BBB"/>
    <w:rsid w:val="005F77E0"/>
    <w:rsid w:val="006005E6"/>
    <w:rsid w:val="00600818"/>
    <w:rsid w:val="00600A5F"/>
    <w:rsid w:val="00606AAC"/>
    <w:rsid w:val="00612AC4"/>
    <w:rsid w:val="006145A2"/>
    <w:rsid w:val="00616380"/>
    <w:rsid w:val="00616F50"/>
    <w:rsid w:val="00617CCD"/>
    <w:rsid w:val="006209E6"/>
    <w:rsid w:val="00630E98"/>
    <w:rsid w:val="006315D9"/>
    <w:rsid w:val="006334E0"/>
    <w:rsid w:val="006343BF"/>
    <w:rsid w:val="0063441D"/>
    <w:rsid w:val="006344EB"/>
    <w:rsid w:val="006346D3"/>
    <w:rsid w:val="00635E36"/>
    <w:rsid w:val="0064192F"/>
    <w:rsid w:val="006420BE"/>
    <w:rsid w:val="0064332E"/>
    <w:rsid w:val="00655BA5"/>
    <w:rsid w:val="006560BD"/>
    <w:rsid w:val="00656514"/>
    <w:rsid w:val="00656C1D"/>
    <w:rsid w:val="00656E78"/>
    <w:rsid w:val="006579A7"/>
    <w:rsid w:val="00665D70"/>
    <w:rsid w:val="00666507"/>
    <w:rsid w:val="00675030"/>
    <w:rsid w:val="00675A14"/>
    <w:rsid w:val="00681BD8"/>
    <w:rsid w:val="00686DB5"/>
    <w:rsid w:val="006923FF"/>
    <w:rsid w:val="006937ED"/>
    <w:rsid w:val="0069417C"/>
    <w:rsid w:val="006A3982"/>
    <w:rsid w:val="006A5EE6"/>
    <w:rsid w:val="006A633F"/>
    <w:rsid w:val="006B3444"/>
    <w:rsid w:val="006B407C"/>
    <w:rsid w:val="006C27D1"/>
    <w:rsid w:val="006D076F"/>
    <w:rsid w:val="006D54EB"/>
    <w:rsid w:val="006D64A9"/>
    <w:rsid w:val="006E1BCD"/>
    <w:rsid w:val="006E1D13"/>
    <w:rsid w:val="006E2B31"/>
    <w:rsid w:val="006E4AA8"/>
    <w:rsid w:val="006E55B6"/>
    <w:rsid w:val="006E5679"/>
    <w:rsid w:val="006E709B"/>
    <w:rsid w:val="006E7999"/>
    <w:rsid w:val="006F2A72"/>
    <w:rsid w:val="006F360B"/>
    <w:rsid w:val="006F4736"/>
    <w:rsid w:val="006F60E6"/>
    <w:rsid w:val="00714E75"/>
    <w:rsid w:val="00717350"/>
    <w:rsid w:val="00717AC5"/>
    <w:rsid w:val="00720538"/>
    <w:rsid w:val="0072232A"/>
    <w:rsid w:val="007223CE"/>
    <w:rsid w:val="007225DB"/>
    <w:rsid w:val="00723198"/>
    <w:rsid w:val="00723316"/>
    <w:rsid w:val="00736B24"/>
    <w:rsid w:val="00740146"/>
    <w:rsid w:val="0074176C"/>
    <w:rsid w:val="00742771"/>
    <w:rsid w:val="0074317A"/>
    <w:rsid w:val="00745186"/>
    <w:rsid w:val="00747017"/>
    <w:rsid w:val="0075228A"/>
    <w:rsid w:val="007671BD"/>
    <w:rsid w:val="0077067F"/>
    <w:rsid w:val="00773403"/>
    <w:rsid w:val="00774DDD"/>
    <w:rsid w:val="007752CD"/>
    <w:rsid w:val="00775385"/>
    <w:rsid w:val="0077655C"/>
    <w:rsid w:val="00777D60"/>
    <w:rsid w:val="00781E64"/>
    <w:rsid w:val="00786D24"/>
    <w:rsid w:val="00787260"/>
    <w:rsid w:val="00791765"/>
    <w:rsid w:val="007923A8"/>
    <w:rsid w:val="007A08CA"/>
    <w:rsid w:val="007A69C1"/>
    <w:rsid w:val="007A6F3C"/>
    <w:rsid w:val="007C1EB2"/>
    <w:rsid w:val="007C3F3B"/>
    <w:rsid w:val="007C545B"/>
    <w:rsid w:val="007D1825"/>
    <w:rsid w:val="007D1BDC"/>
    <w:rsid w:val="007D5033"/>
    <w:rsid w:val="007D655A"/>
    <w:rsid w:val="007E08C6"/>
    <w:rsid w:val="007E73CA"/>
    <w:rsid w:val="007F16AE"/>
    <w:rsid w:val="008038A2"/>
    <w:rsid w:val="008061EB"/>
    <w:rsid w:val="0081118A"/>
    <w:rsid w:val="0081246F"/>
    <w:rsid w:val="008124F2"/>
    <w:rsid w:val="00815BE7"/>
    <w:rsid w:val="00815D2F"/>
    <w:rsid w:val="00821235"/>
    <w:rsid w:val="008243CD"/>
    <w:rsid w:val="00825160"/>
    <w:rsid w:val="00830617"/>
    <w:rsid w:val="00832BA2"/>
    <w:rsid w:val="00841511"/>
    <w:rsid w:val="0085329B"/>
    <w:rsid w:val="008575BE"/>
    <w:rsid w:val="00857D60"/>
    <w:rsid w:val="00861BB9"/>
    <w:rsid w:val="0086486F"/>
    <w:rsid w:val="00865B7F"/>
    <w:rsid w:val="00867285"/>
    <w:rsid w:val="008730A8"/>
    <w:rsid w:val="00874726"/>
    <w:rsid w:val="00877BD0"/>
    <w:rsid w:val="0088138D"/>
    <w:rsid w:val="008840FD"/>
    <w:rsid w:val="00885504"/>
    <w:rsid w:val="00886028"/>
    <w:rsid w:val="008869E4"/>
    <w:rsid w:val="00886DFE"/>
    <w:rsid w:val="00886E2F"/>
    <w:rsid w:val="0089414F"/>
    <w:rsid w:val="008946BB"/>
    <w:rsid w:val="008953BD"/>
    <w:rsid w:val="008955C8"/>
    <w:rsid w:val="008975E6"/>
    <w:rsid w:val="008A6372"/>
    <w:rsid w:val="008B304E"/>
    <w:rsid w:val="008B7D76"/>
    <w:rsid w:val="008C0B14"/>
    <w:rsid w:val="008C32A9"/>
    <w:rsid w:val="008C4AA6"/>
    <w:rsid w:val="008C4FE8"/>
    <w:rsid w:val="008C51A7"/>
    <w:rsid w:val="008C61E0"/>
    <w:rsid w:val="008C70C8"/>
    <w:rsid w:val="008C772B"/>
    <w:rsid w:val="008D3FEA"/>
    <w:rsid w:val="008D4A66"/>
    <w:rsid w:val="008D4C8F"/>
    <w:rsid w:val="008D65F9"/>
    <w:rsid w:val="008D6CD3"/>
    <w:rsid w:val="008D6EC0"/>
    <w:rsid w:val="008D77DB"/>
    <w:rsid w:val="008E19CD"/>
    <w:rsid w:val="008E2C7F"/>
    <w:rsid w:val="008E6941"/>
    <w:rsid w:val="008E75C7"/>
    <w:rsid w:val="008F065B"/>
    <w:rsid w:val="008F0C61"/>
    <w:rsid w:val="008F18CE"/>
    <w:rsid w:val="008F463C"/>
    <w:rsid w:val="008F5D56"/>
    <w:rsid w:val="008F66BC"/>
    <w:rsid w:val="00904455"/>
    <w:rsid w:val="00910661"/>
    <w:rsid w:val="009111AD"/>
    <w:rsid w:val="00912249"/>
    <w:rsid w:val="00912F36"/>
    <w:rsid w:val="0091383D"/>
    <w:rsid w:val="00914B58"/>
    <w:rsid w:val="00915BA4"/>
    <w:rsid w:val="00915DE6"/>
    <w:rsid w:val="00916290"/>
    <w:rsid w:val="00916ED8"/>
    <w:rsid w:val="00917105"/>
    <w:rsid w:val="00922FA7"/>
    <w:rsid w:val="00930984"/>
    <w:rsid w:val="009340C6"/>
    <w:rsid w:val="00937B9C"/>
    <w:rsid w:val="00942A6C"/>
    <w:rsid w:val="00942D84"/>
    <w:rsid w:val="00947762"/>
    <w:rsid w:val="00947E07"/>
    <w:rsid w:val="00947E4E"/>
    <w:rsid w:val="00952220"/>
    <w:rsid w:val="00952A8E"/>
    <w:rsid w:val="0096061D"/>
    <w:rsid w:val="00963B17"/>
    <w:rsid w:val="00966AF0"/>
    <w:rsid w:val="00970109"/>
    <w:rsid w:val="00971C30"/>
    <w:rsid w:val="00973081"/>
    <w:rsid w:val="00976845"/>
    <w:rsid w:val="00977BFC"/>
    <w:rsid w:val="00980412"/>
    <w:rsid w:val="00983239"/>
    <w:rsid w:val="00986C8A"/>
    <w:rsid w:val="00986FD0"/>
    <w:rsid w:val="00990D76"/>
    <w:rsid w:val="0099131F"/>
    <w:rsid w:val="00995AF5"/>
    <w:rsid w:val="00995FD5"/>
    <w:rsid w:val="00997379"/>
    <w:rsid w:val="009A204F"/>
    <w:rsid w:val="009A4478"/>
    <w:rsid w:val="009A5552"/>
    <w:rsid w:val="009A6218"/>
    <w:rsid w:val="009B74D0"/>
    <w:rsid w:val="009C0AFF"/>
    <w:rsid w:val="009C19A9"/>
    <w:rsid w:val="009C25C1"/>
    <w:rsid w:val="009C46D3"/>
    <w:rsid w:val="009C70C4"/>
    <w:rsid w:val="009D011B"/>
    <w:rsid w:val="009D365A"/>
    <w:rsid w:val="009D5DF3"/>
    <w:rsid w:val="009E207D"/>
    <w:rsid w:val="009E3A59"/>
    <w:rsid w:val="009E64F2"/>
    <w:rsid w:val="009E66BF"/>
    <w:rsid w:val="009F28AF"/>
    <w:rsid w:val="009F4DC3"/>
    <w:rsid w:val="00A00950"/>
    <w:rsid w:val="00A03582"/>
    <w:rsid w:val="00A03DBA"/>
    <w:rsid w:val="00A04C1A"/>
    <w:rsid w:val="00A051AC"/>
    <w:rsid w:val="00A10248"/>
    <w:rsid w:val="00A10542"/>
    <w:rsid w:val="00A10ADB"/>
    <w:rsid w:val="00A10AEF"/>
    <w:rsid w:val="00A130A7"/>
    <w:rsid w:val="00A15B4C"/>
    <w:rsid w:val="00A16477"/>
    <w:rsid w:val="00A20102"/>
    <w:rsid w:val="00A20EF3"/>
    <w:rsid w:val="00A2362B"/>
    <w:rsid w:val="00A264D8"/>
    <w:rsid w:val="00A30C4C"/>
    <w:rsid w:val="00A30E3E"/>
    <w:rsid w:val="00A316CB"/>
    <w:rsid w:val="00A32CE1"/>
    <w:rsid w:val="00A34977"/>
    <w:rsid w:val="00A40629"/>
    <w:rsid w:val="00A41692"/>
    <w:rsid w:val="00A42A8C"/>
    <w:rsid w:val="00A42D94"/>
    <w:rsid w:val="00A44F8B"/>
    <w:rsid w:val="00A45038"/>
    <w:rsid w:val="00A454FC"/>
    <w:rsid w:val="00A51695"/>
    <w:rsid w:val="00A52714"/>
    <w:rsid w:val="00A57BEC"/>
    <w:rsid w:val="00A638AC"/>
    <w:rsid w:val="00A6480E"/>
    <w:rsid w:val="00A65906"/>
    <w:rsid w:val="00A67A73"/>
    <w:rsid w:val="00A75403"/>
    <w:rsid w:val="00A767C2"/>
    <w:rsid w:val="00A7698F"/>
    <w:rsid w:val="00A76E88"/>
    <w:rsid w:val="00A76ECC"/>
    <w:rsid w:val="00A778D9"/>
    <w:rsid w:val="00A835BA"/>
    <w:rsid w:val="00A83B7F"/>
    <w:rsid w:val="00A83FE7"/>
    <w:rsid w:val="00A86394"/>
    <w:rsid w:val="00A864E2"/>
    <w:rsid w:val="00A8728E"/>
    <w:rsid w:val="00A92E74"/>
    <w:rsid w:val="00A9359C"/>
    <w:rsid w:val="00A97500"/>
    <w:rsid w:val="00AA2317"/>
    <w:rsid w:val="00AB60E4"/>
    <w:rsid w:val="00AC218F"/>
    <w:rsid w:val="00AC5B56"/>
    <w:rsid w:val="00AC6348"/>
    <w:rsid w:val="00AC6715"/>
    <w:rsid w:val="00AC7360"/>
    <w:rsid w:val="00AD2498"/>
    <w:rsid w:val="00AE02DF"/>
    <w:rsid w:val="00AE0A4F"/>
    <w:rsid w:val="00AE19FF"/>
    <w:rsid w:val="00AE26D7"/>
    <w:rsid w:val="00AE4CCE"/>
    <w:rsid w:val="00AE602E"/>
    <w:rsid w:val="00AE67CC"/>
    <w:rsid w:val="00AF0318"/>
    <w:rsid w:val="00AF0376"/>
    <w:rsid w:val="00AF054E"/>
    <w:rsid w:val="00AF1F20"/>
    <w:rsid w:val="00AF38CB"/>
    <w:rsid w:val="00AF5AE6"/>
    <w:rsid w:val="00AF77DC"/>
    <w:rsid w:val="00B009D8"/>
    <w:rsid w:val="00B03C7C"/>
    <w:rsid w:val="00B072E4"/>
    <w:rsid w:val="00B07DE8"/>
    <w:rsid w:val="00B15266"/>
    <w:rsid w:val="00B16F95"/>
    <w:rsid w:val="00B176BA"/>
    <w:rsid w:val="00B25BAC"/>
    <w:rsid w:val="00B26662"/>
    <w:rsid w:val="00B2746A"/>
    <w:rsid w:val="00B32747"/>
    <w:rsid w:val="00B33FA7"/>
    <w:rsid w:val="00B359D8"/>
    <w:rsid w:val="00B367FD"/>
    <w:rsid w:val="00B372F5"/>
    <w:rsid w:val="00B404CB"/>
    <w:rsid w:val="00B4734B"/>
    <w:rsid w:val="00B52F30"/>
    <w:rsid w:val="00B6058A"/>
    <w:rsid w:val="00B64EB9"/>
    <w:rsid w:val="00B65EDC"/>
    <w:rsid w:val="00B679BA"/>
    <w:rsid w:val="00B8751F"/>
    <w:rsid w:val="00B87991"/>
    <w:rsid w:val="00B9123E"/>
    <w:rsid w:val="00B91BB4"/>
    <w:rsid w:val="00B937C8"/>
    <w:rsid w:val="00B94341"/>
    <w:rsid w:val="00B96E9C"/>
    <w:rsid w:val="00B97CAB"/>
    <w:rsid w:val="00BA604E"/>
    <w:rsid w:val="00BB0BE3"/>
    <w:rsid w:val="00BB482D"/>
    <w:rsid w:val="00BC3C9F"/>
    <w:rsid w:val="00BC476E"/>
    <w:rsid w:val="00BC63E2"/>
    <w:rsid w:val="00BC7F88"/>
    <w:rsid w:val="00BD0B9E"/>
    <w:rsid w:val="00BE4605"/>
    <w:rsid w:val="00BE77DD"/>
    <w:rsid w:val="00BF08F6"/>
    <w:rsid w:val="00BF2362"/>
    <w:rsid w:val="00BF572F"/>
    <w:rsid w:val="00BF7A3B"/>
    <w:rsid w:val="00C00E79"/>
    <w:rsid w:val="00C01CBD"/>
    <w:rsid w:val="00C030AC"/>
    <w:rsid w:val="00C03299"/>
    <w:rsid w:val="00C10123"/>
    <w:rsid w:val="00C17109"/>
    <w:rsid w:val="00C17619"/>
    <w:rsid w:val="00C3287E"/>
    <w:rsid w:val="00C33C6B"/>
    <w:rsid w:val="00C352FF"/>
    <w:rsid w:val="00C37CCE"/>
    <w:rsid w:val="00C40212"/>
    <w:rsid w:val="00C403C0"/>
    <w:rsid w:val="00C41D4F"/>
    <w:rsid w:val="00C43579"/>
    <w:rsid w:val="00C47AE0"/>
    <w:rsid w:val="00C50006"/>
    <w:rsid w:val="00C50D5C"/>
    <w:rsid w:val="00C54BAA"/>
    <w:rsid w:val="00C57D97"/>
    <w:rsid w:val="00C57DAC"/>
    <w:rsid w:val="00C60A23"/>
    <w:rsid w:val="00C628E3"/>
    <w:rsid w:val="00C63E11"/>
    <w:rsid w:val="00C71071"/>
    <w:rsid w:val="00C76340"/>
    <w:rsid w:val="00C76A00"/>
    <w:rsid w:val="00C83264"/>
    <w:rsid w:val="00CA04EC"/>
    <w:rsid w:val="00CA7685"/>
    <w:rsid w:val="00CB14F1"/>
    <w:rsid w:val="00CB2160"/>
    <w:rsid w:val="00CB61B7"/>
    <w:rsid w:val="00CB632B"/>
    <w:rsid w:val="00CC0BC6"/>
    <w:rsid w:val="00CC225F"/>
    <w:rsid w:val="00CC244F"/>
    <w:rsid w:val="00CC29CE"/>
    <w:rsid w:val="00CC414D"/>
    <w:rsid w:val="00CC781D"/>
    <w:rsid w:val="00CD1384"/>
    <w:rsid w:val="00CD419C"/>
    <w:rsid w:val="00CD4C84"/>
    <w:rsid w:val="00CD654F"/>
    <w:rsid w:val="00CD68A7"/>
    <w:rsid w:val="00CE115E"/>
    <w:rsid w:val="00CE2C79"/>
    <w:rsid w:val="00CE33DB"/>
    <w:rsid w:val="00CE3E3A"/>
    <w:rsid w:val="00CE463C"/>
    <w:rsid w:val="00CE4B4D"/>
    <w:rsid w:val="00CE5F8F"/>
    <w:rsid w:val="00CE7AB9"/>
    <w:rsid w:val="00CF125C"/>
    <w:rsid w:val="00D00D59"/>
    <w:rsid w:val="00D119EF"/>
    <w:rsid w:val="00D12C49"/>
    <w:rsid w:val="00D222A7"/>
    <w:rsid w:val="00D25953"/>
    <w:rsid w:val="00D26550"/>
    <w:rsid w:val="00D3066F"/>
    <w:rsid w:val="00D408E7"/>
    <w:rsid w:val="00D41147"/>
    <w:rsid w:val="00D46606"/>
    <w:rsid w:val="00D46875"/>
    <w:rsid w:val="00D46C4F"/>
    <w:rsid w:val="00D5324E"/>
    <w:rsid w:val="00D57CBD"/>
    <w:rsid w:val="00D608A2"/>
    <w:rsid w:val="00D71DE3"/>
    <w:rsid w:val="00D72215"/>
    <w:rsid w:val="00D734D3"/>
    <w:rsid w:val="00D73632"/>
    <w:rsid w:val="00D73E00"/>
    <w:rsid w:val="00D7444F"/>
    <w:rsid w:val="00D76309"/>
    <w:rsid w:val="00D768D3"/>
    <w:rsid w:val="00D80C7E"/>
    <w:rsid w:val="00D812DA"/>
    <w:rsid w:val="00D85F09"/>
    <w:rsid w:val="00D87230"/>
    <w:rsid w:val="00D8770A"/>
    <w:rsid w:val="00D913B2"/>
    <w:rsid w:val="00D9774D"/>
    <w:rsid w:val="00DA228E"/>
    <w:rsid w:val="00DA2DD4"/>
    <w:rsid w:val="00DA6B5E"/>
    <w:rsid w:val="00DA6DAF"/>
    <w:rsid w:val="00DB0368"/>
    <w:rsid w:val="00DB116B"/>
    <w:rsid w:val="00DB2544"/>
    <w:rsid w:val="00DB3610"/>
    <w:rsid w:val="00DB6182"/>
    <w:rsid w:val="00DB6DC6"/>
    <w:rsid w:val="00DC17AB"/>
    <w:rsid w:val="00DD1675"/>
    <w:rsid w:val="00DD172D"/>
    <w:rsid w:val="00DD41EE"/>
    <w:rsid w:val="00DD43FC"/>
    <w:rsid w:val="00DD6B4E"/>
    <w:rsid w:val="00DD7D57"/>
    <w:rsid w:val="00DE0503"/>
    <w:rsid w:val="00DE7635"/>
    <w:rsid w:val="00DF2962"/>
    <w:rsid w:val="00DF4F0A"/>
    <w:rsid w:val="00DF71B7"/>
    <w:rsid w:val="00E07FF7"/>
    <w:rsid w:val="00E1157B"/>
    <w:rsid w:val="00E12E9D"/>
    <w:rsid w:val="00E1337B"/>
    <w:rsid w:val="00E15E73"/>
    <w:rsid w:val="00E22D48"/>
    <w:rsid w:val="00E24F6B"/>
    <w:rsid w:val="00E2519C"/>
    <w:rsid w:val="00E263ED"/>
    <w:rsid w:val="00E266ED"/>
    <w:rsid w:val="00E3185C"/>
    <w:rsid w:val="00E52F2D"/>
    <w:rsid w:val="00E545AF"/>
    <w:rsid w:val="00E627E9"/>
    <w:rsid w:val="00E63ACE"/>
    <w:rsid w:val="00E66659"/>
    <w:rsid w:val="00E70806"/>
    <w:rsid w:val="00E71601"/>
    <w:rsid w:val="00E8574D"/>
    <w:rsid w:val="00E905C3"/>
    <w:rsid w:val="00E9093A"/>
    <w:rsid w:val="00E92E88"/>
    <w:rsid w:val="00E93D1F"/>
    <w:rsid w:val="00E94288"/>
    <w:rsid w:val="00E94886"/>
    <w:rsid w:val="00E95938"/>
    <w:rsid w:val="00E96609"/>
    <w:rsid w:val="00EA0E1C"/>
    <w:rsid w:val="00EA16AE"/>
    <w:rsid w:val="00EA28D1"/>
    <w:rsid w:val="00EA35A9"/>
    <w:rsid w:val="00EA4BF5"/>
    <w:rsid w:val="00EA63C2"/>
    <w:rsid w:val="00EB1A08"/>
    <w:rsid w:val="00EB5DAB"/>
    <w:rsid w:val="00EC1DED"/>
    <w:rsid w:val="00EC2C7D"/>
    <w:rsid w:val="00EC4595"/>
    <w:rsid w:val="00EC4869"/>
    <w:rsid w:val="00EC5ACC"/>
    <w:rsid w:val="00EC7F9A"/>
    <w:rsid w:val="00EC7FBD"/>
    <w:rsid w:val="00ED4746"/>
    <w:rsid w:val="00ED63E6"/>
    <w:rsid w:val="00EE38A4"/>
    <w:rsid w:val="00EE40F0"/>
    <w:rsid w:val="00EE544B"/>
    <w:rsid w:val="00EE75D5"/>
    <w:rsid w:val="00EF0CD5"/>
    <w:rsid w:val="00EF477A"/>
    <w:rsid w:val="00EF62EF"/>
    <w:rsid w:val="00F00A16"/>
    <w:rsid w:val="00F035A1"/>
    <w:rsid w:val="00F07CF3"/>
    <w:rsid w:val="00F13CA7"/>
    <w:rsid w:val="00F15A06"/>
    <w:rsid w:val="00F1672E"/>
    <w:rsid w:val="00F1785F"/>
    <w:rsid w:val="00F179A0"/>
    <w:rsid w:val="00F17A90"/>
    <w:rsid w:val="00F21054"/>
    <w:rsid w:val="00F26DEF"/>
    <w:rsid w:val="00F274E8"/>
    <w:rsid w:val="00F3351C"/>
    <w:rsid w:val="00F33E9F"/>
    <w:rsid w:val="00F3531C"/>
    <w:rsid w:val="00F379A4"/>
    <w:rsid w:val="00F42C98"/>
    <w:rsid w:val="00F434C3"/>
    <w:rsid w:val="00F43B15"/>
    <w:rsid w:val="00F4429D"/>
    <w:rsid w:val="00F45387"/>
    <w:rsid w:val="00F45A21"/>
    <w:rsid w:val="00F515EE"/>
    <w:rsid w:val="00F5478C"/>
    <w:rsid w:val="00F65955"/>
    <w:rsid w:val="00F65E0D"/>
    <w:rsid w:val="00F66141"/>
    <w:rsid w:val="00F726F3"/>
    <w:rsid w:val="00F8042D"/>
    <w:rsid w:val="00F84BC5"/>
    <w:rsid w:val="00F851B0"/>
    <w:rsid w:val="00F875EB"/>
    <w:rsid w:val="00F87940"/>
    <w:rsid w:val="00F927F1"/>
    <w:rsid w:val="00F93255"/>
    <w:rsid w:val="00F93E73"/>
    <w:rsid w:val="00FA03C6"/>
    <w:rsid w:val="00FA1C91"/>
    <w:rsid w:val="00FA255C"/>
    <w:rsid w:val="00FA2D31"/>
    <w:rsid w:val="00FA3DC3"/>
    <w:rsid w:val="00FB2B68"/>
    <w:rsid w:val="00FB3A62"/>
    <w:rsid w:val="00FB462C"/>
    <w:rsid w:val="00FB5BAD"/>
    <w:rsid w:val="00FB609C"/>
    <w:rsid w:val="00FC1BF6"/>
    <w:rsid w:val="00FC3C63"/>
    <w:rsid w:val="00FC3FD8"/>
    <w:rsid w:val="00FC4156"/>
    <w:rsid w:val="00FC4A85"/>
    <w:rsid w:val="00FC5AD7"/>
    <w:rsid w:val="00FD74E0"/>
    <w:rsid w:val="00FE095E"/>
    <w:rsid w:val="00FE12D5"/>
    <w:rsid w:val="00FE135D"/>
    <w:rsid w:val="00FE1887"/>
    <w:rsid w:val="00FE4730"/>
    <w:rsid w:val="00FE634D"/>
    <w:rsid w:val="00FE64BA"/>
    <w:rsid w:val="00FF1E7B"/>
    <w:rsid w:val="00FF26AB"/>
    <w:rsid w:val="00FF2B2F"/>
    <w:rsid w:val="00FF2DAD"/>
    <w:rsid w:val="00FF40B3"/>
    <w:rsid w:val="00FF4594"/>
    <w:rsid w:val="00FF6E2E"/>
    <w:rsid w:val="00FF6E70"/>
    <w:rsid w:val="00FF7272"/>
    <w:rsid w:val="07082DA4"/>
    <w:rsid w:val="0E3A0A94"/>
    <w:rsid w:val="19B152A8"/>
    <w:rsid w:val="206C73EC"/>
    <w:rsid w:val="20E45CCC"/>
    <w:rsid w:val="262B6095"/>
    <w:rsid w:val="2B4A10C1"/>
    <w:rsid w:val="33B30DEE"/>
    <w:rsid w:val="37566944"/>
    <w:rsid w:val="536F1820"/>
    <w:rsid w:val="69CE7F6E"/>
    <w:rsid w:val="71184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180CA7-5E0B-4687-8921-6BBDBF77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200" w:line="276" w:lineRule="auto"/>
    </w:pPr>
    <w:rPr>
      <w:rFonts w:ascii="Times New Roman" w:eastAsia="仿宋_GB2312" w:hAnsi="Times New Roman"/>
      <w:sz w:val="32"/>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sz w:val="18"/>
      <w:szCs w:val="18"/>
    </w:rPr>
  </w:style>
  <w:style w:type="paragraph" w:styleId="a5">
    <w:name w:val="footer"/>
    <w:basedOn w:val="a"/>
    <w:link w:val="a6"/>
    <w:uiPriority w:val="99"/>
    <w:unhideWhenUsed/>
    <w:qFormat/>
    <w:pPr>
      <w:tabs>
        <w:tab w:val="center" w:pos="4153"/>
        <w:tab w:val="right" w:pos="8306"/>
      </w:tabs>
      <w:snapToGrid w:val="0"/>
      <w:spacing w:line="240" w:lineRule="auto"/>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style>
  <w:style w:type="paragraph" w:styleId="21">
    <w:name w:val="toc 2"/>
    <w:basedOn w:val="a"/>
    <w:next w:val="a"/>
    <w:uiPriority w:val="39"/>
    <w:unhideWhenUsed/>
    <w:qFormat/>
    <w:pPr>
      <w:ind w:leftChars="200" w:left="420"/>
    </w:pPr>
  </w:style>
  <w:style w:type="character" w:styleId="a9">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kern w:val="0"/>
      <w:sz w:val="18"/>
      <w:szCs w:val="18"/>
    </w:rPr>
  </w:style>
  <w:style w:type="character" w:customStyle="1" w:styleId="a6">
    <w:name w:val="页脚 字符"/>
    <w:basedOn w:val="a0"/>
    <w:link w:val="a5"/>
    <w:uiPriority w:val="99"/>
    <w:qFormat/>
    <w:rPr>
      <w:kern w:val="0"/>
      <w:sz w:val="18"/>
      <w:szCs w:val="18"/>
    </w:rPr>
  </w:style>
  <w:style w:type="paragraph" w:customStyle="1" w:styleId="aa">
    <w:name w:val="一级标题"/>
    <w:basedOn w:val="1"/>
    <w:link w:val="ab"/>
    <w:qFormat/>
    <w:pPr>
      <w:widowControl w:val="0"/>
      <w:autoSpaceDE w:val="0"/>
      <w:autoSpaceDN w:val="0"/>
      <w:adjustRightInd w:val="0"/>
      <w:spacing w:after="0"/>
      <w:ind w:firstLineChars="200" w:firstLine="640"/>
      <w:jc w:val="both"/>
    </w:pPr>
    <w:rPr>
      <w:rFonts w:eastAsia="黑体" w:cs="Times New Roman"/>
      <w:color w:val="000000"/>
      <w:sz w:val="32"/>
      <w:szCs w:val="32"/>
    </w:rPr>
  </w:style>
  <w:style w:type="paragraph" w:customStyle="1" w:styleId="ac">
    <w:name w:val="二级标题"/>
    <w:basedOn w:val="a"/>
    <w:link w:val="ad"/>
    <w:qFormat/>
    <w:pPr>
      <w:widowControl w:val="0"/>
      <w:autoSpaceDE w:val="0"/>
      <w:autoSpaceDN w:val="0"/>
      <w:adjustRightInd w:val="0"/>
      <w:spacing w:after="0"/>
      <w:ind w:firstLineChars="200" w:firstLine="640"/>
      <w:jc w:val="both"/>
    </w:pPr>
    <w:rPr>
      <w:rFonts w:eastAsia="楷体" w:cs="Times New Roman"/>
      <w:color w:val="000000"/>
      <w:szCs w:val="32"/>
    </w:rPr>
  </w:style>
  <w:style w:type="character" w:customStyle="1" w:styleId="10">
    <w:name w:val="标题 1 字符"/>
    <w:basedOn w:val="a0"/>
    <w:link w:val="1"/>
    <w:uiPriority w:val="9"/>
    <w:qFormat/>
    <w:rPr>
      <w:b/>
      <w:bCs/>
      <w:kern w:val="44"/>
      <w:sz w:val="44"/>
      <w:szCs w:val="44"/>
    </w:rPr>
  </w:style>
  <w:style w:type="character" w:customStyle="1" w:styleId="ab">
    <w:name w:val="一级标题 字符"/>
    <w:basedOn w:val="10"/>
    <w:link w:val="aa"/>
    <w:qFormat/>
    <w:rPr>
      <w:rFonts w:ascii="Times New Roman" w:eastAsia="黑体" w:hAnsi="Times New Roman" w:cs="Times New Roman"/>
      <w:b/>
      <w:bCs/>
      <w:color w:val="000000"/>
      <w:kern w:val="44"/>
      <w:sz w:val="32"/>
      <w:szCs w:val="32"/>
    </w:rPr>
  </w:style>
  <w:style w:type="paragraph" w:customStyle="1" w:styleId="12">
    <w:name w:val="正文1"/>
    <w:basedOn w:val="a"/>
    <w:link w:val="13"/>
    <w:qFormat/>
    <w:pPr>
      <w:spacing w:after="0"/>
      <w:ind w:firstLineChars="200" w:firstLine="640"/>
    </w:pPr>
  </w:style>
  <w:style w:type="character" w:customStyle="1" w:styleId="ad">
    <w:name w:val="二级标题 字符"/>
    <w:basedOn w:val="a0"/>
    <w:link w:val="ac"/>
    <w:qFormat/>
    <w:rPr>
      <w:rFonts w:ascii="Times New Roman" w:eastAsia="楷体" w:hAnsi="Times New Roman" w:cs="Times New Roman"/>
      <w:color w:val="000000"/>
      <w:kern w:val="0"/>
      <w:sz w:val="32"/>
      <w:szCs w:val="32"/>
    </w:rPr>
  </w:style>
  <w:style w:type="paragraph" w:customStyle="1" w:styleId="22">
    <w:name w:val="正文2"/>
    <w:basedOn w:val="12"/>
    <w:link w:val="23"/>
    <w:qFormat/>
    <w:pPr>
      <w:jc w:val="both"/>
    </w:pPr>
  </w:style>
  <w:style w:type="character" w:customStyle="1" w:styleId="13">
    <w:name w:val="正文1 字符"/>
    <w:basedOn w:val="a0"/>
    <w:link w:val="12"/>
    <w:rPr>
      <w:rFonts w:ascii="Times New Roman" w:eastAsia="仿宋_GB2312" w:hAnsi="Times New Roman"/>
      <w:kern w:val="0"/>
      <w:sz w:val="32"/>
    </w:rPr>
  </w:style>
  <w:style w:type="paragraph" w:customStyle="1" w:styleId="TOC1">
    <w:name w:val="TOC 标题1"/>
    <w:basedOn w:val="1"/>
    <w:next w:val="a"/>
    <w:uiPriority w:val="39"/>
    <w:unhideWhenUsed/>
    <w:qFormat/>
    <w:pPr>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3">
    <w:name w:val="正文2 字符"/>
    <w:basedOn w:val="13"/>
    <w:link w:val="22"/>
    <w:qFormat/>
    <w:rPr>
      <w:rFonts w:ascii="Times New Roman" w:eastAsia="仿宋_GB2312" w:hAnsi="Times New Roman"/>
      <w:kern w:val="0"/>
      <w:sz w:val="32"/>
    </w:rPr>
  </w:style>
  <w:style w:type="paragraph" w:customStyle="1" w:styleId="ae">
    <w:name w:val="二级目录"/>
    <w:basedOn w:val="ac"/>
    <w:link w:val="af"/>
    <w:qFormat/>
  </w:style>
  <w:style w:type="character" w:customStyle="1" w:styleId="af">
    <w:name w:val="二级目录 字符"/>
    <w:basedOn w:val="ad"/>
    <w:link w:val="ae"/>
    <w:rPr>
      <w:rFonts w:ascii="Times New Roman" w:eastAsia="楷体" w:hAnsi="Times New Roman" w:cs="Times New Roman"/>
      <w:color w:val="000000"/>
      <w:kern w:val="0"/>
      <w:sz w:val="32"/>
      <w:szCs w:val="32"/>
    </w:rPr>
  </w:style>
  <w:style w:type="character" w:customStyle="1" w:styleId="20">
    <w:name w:val="标题 2 字符"/>
    <w:basedOn w:val="a0"/>
    <w:link w:val="2"/>
    <w:uiPriority w:val="9"/>
    <w:semiHidden/>
    <w:rPr>
      <w:rFonts w:asciiTheme="majorHAnsi" w:eastAsiaTheme="majorEastAsia" w:hAnsiTheme="majorHAnsi" w:cstheme="majorBidi"/>
      <w:b/>
      <w:bCs/>
      <w:kern w:val="0"/>
      <w:sz w:val="32"/>
      <w:szCs w:val="32"/>
    </w:rPr>
  </w:style>
  <w:style w:type="character" w:customStyle="1" w:styleId="30">
    <w:name w:val="标题 3 字符"/>
    <w:basedOn w:val="a0"/>
    <w:link w:val="3"/>
    <w:uiPriority w:val="9"/>
    <w:semiHidden/>
    <w:qFormat/>
    <w:rPr>
      <w:rFonts w:ascii="Times New Roman" w:eastAsia="仿宋_GB2312" w:hAnsi="Times New Roman"/>
      <w:b/>
      <w:bCs/>
      <w:kern w:val="0"/>
      <w:sz w:val="32"/>
      <w:szCs w:val="32"/>
    </w:rPr>
  </w:style>
  <w:style w:type="character" w:customStyle="1" w:styleId="a4">
    <w:name w:val="批注框文本 字符"/>
    <w:basedOn w:val="a0"/>
    <w:link w:val="a3"/>
    <w:uiPriority w:val="99"/>
    <w:semiHidden/>
    <w:rPr>
      <w:rFonts w:ascii="Times New Roman" w:eastAsia="仿宋_GB2312" w:hAnsi="Times New Roman"/>
      <w:kern w:val="0"/>
      <w:sz w:val="18"/>
      <w:szCs w:val="18"/>
    </w:rPr>
  </w:style>
  <w:style w:type="character" w:styleId="af0">
    <w:name w:val="line number"/>
    <w:basedOn w:val="a0"/>
    <w:uiPriority w:val="99"/>
    <w:semiHidden/>
    <w:unhideWhenUsed/>
    <w:rsid w:val="00361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99837">
      <w:bodyDiv w:val="1"/>
      <w:marLeft w:val="0"/>
      <w:marRight w:val="0"/>
      <w:marTop w:val="0"/>
      <w:marBottom w:val="0"/>
      <w:divBdr>
        <w:top w:val="none" w:sz="0" w:space="0" w:color="auto"/>
        <w:left w:val="none" w:sz="0" w:space="0" w:color="auto"/>
        <w:bottom w:val="none" w:sz="0" w:space="0" w:color="auto"/>
        <w:right w:val="none" w:sz="0" w:space="0" w:color="auto"/>
      </w:divBdr>
    </w:div>
    <w:div w:id="1153108723">
      <w:bodyDiv w:val="1"/>
      <w:marLeft w:val="0"/>
      <w:marRight w:val="0"/>
      <w:marTop w:val="0"/>
      <w:marBottom w:val="0"/>
      <w:divBdr>
        <w:top w:val="none" w:sz="0" w:space="0" w:color="auto"/>
        <w:left w:val="none" w:sz="0" w:space="0" w:color="auto"/>
        <w:bottom w:val="none" w:sz="0" w:space="0" w:color="auto"/>
        <w:right w:val="none" w:sz="0" w:space="0" w:color="auto"/>
      </w:divBdr>
    </w:div>
    <w:div w:id="1178151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5CBEFD-D9ED-4B32-83FC-1084EBEEB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赵骏</dc:creator>
  <cp:lastModifiedBy> 赵骏</cp:lastModifiedBy>
  <cp:revision>2</cp:revision>
  <cp:lastPrinted>2021-04-01T01:41:00Z</cp:lastPrinted>
  <dcterms:created xsi:type="dcterms:W3CDTF">2021-04-09T07:52:00Z</dcterms:created>
  <dcterms:modified xsi:type="dcterms:W3CDTF">2021-04-09T07:52:00Z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