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/>
        <w:jc w:val="center"/>
        <w:rPr>
          <w:rFonts w:hint="eastAsia"/>
          <w:b/>
          <w:sz w:val="44"/>
          <w:lang w:eastAsia="zh-CN"/>
        </w:rPr>
      </w:pPr>
    </w:p>
    <w:p>
      <w:pPr>
        <w:spacing w:beforeLines="0" w:afterLines="0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lang w:eastAsia="zh-CN"/>
        </w:rPr>
        <w:t>第一批</w:t>
      </w:r>
      <w:r>
        <w:rPr>
          <w:rFonts w:hint="eastAsia"/>
          <w:b/>
          <w:sz w:val="44"/>
        </w:rPr>
        <w:t>鼓励仿制药品目录</w:t>
      </w:r>
      <w:r>
        <w:rPr>
          <w:rFonts w:hint="eastAsia"/>
          <w:b/>
          <w:sz w:val="44"/>
          <w:lang w:eastAsia="zh-CN"/>
        </w:rPr>
        <w:t>建议</w:t>
      </w:r>
      <w:r>
        <w:rPr>
          <w:rFonts w:hint="eastAsia"/>
          <w:b/>
          <w:sz w:val="44"/>
        </w:rPr>
        <w:t>清单</w:t>
      </w:r>
    </w:p>
    <w:p>
      <w:pPr>
        <w:spacing w:beforeLines="0" w:afterLines="0"/>
        <w:jc w:val="center"/>
        <w:rPr>
          <w:rFonts w:hint="eastAsia"/>
          <w:b/>
          <w:sz w:val="44"/>
        </w:rPr>
      </w:pPr>
    </w:p>
    <w:tbl>
      <w:tblPr>
        <w:tblStyle w:val="3"/>
        <w:tblW w:w="8625" w:type="dxa"/>
        <w:jc w:val="center"/>
        <w:tblInd w:w="-24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2313"/>
        <w:gridCol w:w="1962"/>
        <w:gridCol w:w="3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药品通用名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剂型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尼替西农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富马酸福莫特罗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吸入溶液剂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0.02mg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2ml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泊沙康唑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300mg/16.7ml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18mg/ml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肠溶片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氨苯砜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缬更昔洛韦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利匹韦林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阿巴卡韦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厄他培南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阿托伐醌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伊沙匹隆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氟维司群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5ml: 0.25g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巯嘌呤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25mg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甲氨蝶呤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2.5mg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环磷酰胺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维A酸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非索罗定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缓释片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格拉替雷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硫唑嘌呤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雷洛昔芬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左甲状腺素钠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50μg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依来曲普坦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溴吡斯的明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exact"/>
          <w:jc w:val="center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缓释片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180mg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多巴丝肼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0.25g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0.2g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0.05g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左旋多巴：苄丝肼</w:t>
            </w:r>
            <w:r>
              <w:rPr>
                <w:rStyle w:val="5"/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布瓦西坦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福沙吡坦二甲葡胺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曲前列尼尔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波生坦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62.5mg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125mg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盐酸考来维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仑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625mg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多非利特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0.125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0.25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艾替班特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地拉罗司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0.125g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0.25g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阿卡他定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滴眼剂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0.25%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他氟前列素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滴眼剂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0.0015%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氨己烯酸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500mg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2AA3"/>
    <w:rsid w:val="21871088"/>
    <w:rsid w:val="54772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nhideWhenUsed/>
    <w:uiPriority w:val="0"/>
    <w:rPr>
      <w:rFonts w:hint="default" w:ascii="Times New Roman" w:hAnsi="Times New Roman" w:eastAsia="宋体"/>
      <w:color w:val="000000"/>
      <w:sz w:val="22"/>
    </w:rPr>
  </w:style>
  <w:style w:type="character" w:customStyle="1" w:styleId="5">
    <w:name w:val="font61"/>
    <w:basedOn w:val="2"/>
    <w:unhideWhenUsed/>
    <w:uiPriority w:val="0"/>
    <w:rPr>
      <w:rFonts w:hint="eastAsia" w:ascii="宋体" w:hAnsi="宋体" w:eastAsia="宋体"/>
      <w:color w:val="000000"/>
      <w:sz w:val="22"/>
    </w:rPr>
  </w:style>
  <w:style w:type="paragraph" w:customStyle="1" w:styleId="6">
    <w:name w:val="样式1"/>
    <w:basedOn w:val="1"/>
    <w:uiPriority w:val="0"/>
    <w:pPr>
      <w:jc w:val="left"/>
    </w:pPr>
    <w:rPr>
      <w:rFonts w:ascii="仿宋_GB2312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2019-06-20T08:18:00Z</dcterms:created>
  <dc:creator>Administrator</dc:creator>
  <cp:lastModifiedBy>Administrator</cp:lastModifiedBy>
  <dcterms:modified xsi:type="dcterms:W3CDTF">2019-06-20T08:34:07Z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